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Style w:val="12"/>
          <w:rFonts w:hint="eastAsia" w:ascii="方正小标宋_GBK" w:hAnsi="方正小标宋_GBK" w:eastAsia="方正小标宋_GBK" w:cs="方正小标宋_GBK"/>
          <w:b w:val="0"/>
          <w:bCs w:val="0"/>
          <w:i w:val="0"/>
          <w:iCs w:val="0"/>
          <w:caps w:val="0"/>
          <w:color w:val="auto"/>
          <w:spacing w:val="0"/>
          <w:sz w:val="44"/>
          <w:szCs w:val="44"/>
          <w:highlight w:val="none"/>
        </w:rPr>
      </w:pPr>
      <w:r>
        <w:rPr>
          <w:rStyle w:val="12"/>
          <w:rFonts w:hint="eastAsia" w:ascii="方正小标宋_GBK" w:hAnsi="方正小标宋_GBK" w:eastAsia="方正小标宋_GBK" w:cs="方正小标宋_GBK"/>
          <w:b w:val="0"/>
          <w:bCs w:val="0"/>
          <w:i w:val="0"/>
          <w:iCs w:val="0"/>
          <w:caps w:val="0"/>
          <w:color w:val="auto"/>
          <w:spacing w:val="0"/>
          <w:sz w:val="44"/>
          <w:szCs w:val="44"/>
          <w:highlight w:val="none"/>
          <w:lang w:eastAsia="zh-CN"/>
        </w:rPr>
        <w:t>海南</w:t>
      </w:r>
      <w:r>
        <w:rPr>
          <w:rStyle w:val="12"/>
          <w:rFonts w:hint="eastAsia" w:ascii="方正小标宋_GBK" w:hAnsi="方正小标宋_GBK" w:eastAsia="方正小标宋_GBK" w:cs="方正小标宋_GBK"/>
          <w:b w:val="0"/>
          <w:bCs w:val="0"/>
          <w:i w:val="0"/>
          <w:iCs w:val="0"/>
          <w:caps w:val="0"/>
          <w:color w:val="auto"/>
          <w:spacing w:val="0"/>
          <w:sz w:val="44"/>
          <w:szCs w:val="44"/>
          <w:highlight w:val="none"/>
        </w:rPr>
        <w:t>电力市场零售交易实施细则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Style w:val="12"/>
          <w:rFonts w:hint="eastAsia" w:ascii="仿宋_GB2312" w:hAnsi="仿宋_GB2312" w:eastAsia="仿宋_GB2312" w:cs="仿宋_GB2312"/>
          <w:b w:val="0"/>
          <w:bCs w:val="0"/>
          <w:i w:val="0"/>
          <w:iCs w:val="0"/>
          <w:caps w:val="0"/>
          <w:color w:val="auto"/>
          <w:spacing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Style w:val="12"/>
          <w:rFonts w:hint="eastAsia" w:ascii="黑体" w:hAnsi="黑体" w:eastAsia="黑体" w:cs="黑体"/>
          <w:b w:val="0"/>
          <w:bCs w:val="0"/>
          <w:i w:val="0"/>
          <w:iCs w:val="0"/>
          <w:caps w:val="0"/>
          <w:color w:val="auto"/>
          <w:spacing w:val="0"/>
          <w:sz w:val="32"/>
          <w:szCs w:val="32"/>
          <w:highlight w:val="none"/>
        </w:rPr>
      </w:pPr>
      <w:r>
        <w:rPr>
          <w:rStyle w:val="12"/>
          <w:rFonts w:hint="eastAsia" w:ascii="黑体" w:hAnsi="黑体" w:eastAsia="黑体" w:cs="黑体"/>
          <w:b w:val="0"/>
          <w:bCs w:val="0"/>
          <w:i w:val="0"/>
          <w:iCs w:val="0"/>
          <w:caps w:val="0"/>
          <w:color w:val="auto"/>
          <w:spacing w:val="0"/>
          <w:sz w:val="32"/>
          <w:szCs w:val="32"/>
          <w:highlight w:val="none"/>
        </w:rPr>
        <w:t>1.总则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为加强和规范</w:t>
      </w:r>
      <w:r>
        <w:rPr>
          <w:rFonts w:hint="eastAsia" w:ascii="仿宋_GB2312" w:hAnsi="仿宋_GB2312" w:eastAsia="仿宋_GB2312" w:cs="仿宋_GB2312"/>
          <w:color w:val="auto"/>
          <w:sz w:val="32"/>
          <w:szCs w:val="32"/>
          <w:highlight w:val="none"/>
          <w:lang w:eastAsia="zh-CN"/>
        </w:rPr>
        <w:t>海南</w:t>
      </w:r>
      <w:r>
        <w:rPr>
          <w:rFonts w:hint="eastAsia" w:ascii="仿宋_GB2312" w:hAnsi="仿宋_GB2312" w:eastAsia="仿宋_GB2312" w:cs="仿宋_GB2312"/>
          <w:color w:val="auto"/>
          <w:sz w:val="32"/>
          <w:szCs w:val="32"/>
          <w:highlight w:val="none"/>
        </w:rPr>
        <w:t>电力零售市场交易管理，维护零售市场秩序，保护各</w:t>
      </w:r>
      <w:r>
        <w:rPr>
          <w:rFonts w:hint="eastAsia" w:ascii="仿宋_GB2312" w:hAnsi="仿宋_GB2312" w:eastAsia="仿宋_GB2312" w:cs="仿宋_GB2312"/>
          <w:color w:val="auto"/>
          <w:sz w:val="32"/>
          <w:szCs w:val="32"/>
          <w:highlight w:val="none"/>
          <w:lang w:val="en-US" w:eastAsia="zh-CN"/>
        </w:rPr>
        <w:t>经营</w:t>
      </w:r>
      <w:r>
        <w:rPr>
          <w:rFonts w:hint="eastAsia" w:ascii="仿宋_GB2312" w:hAnsi="仿宋_GB2312" w:eastAsia="仿宋_GB2312" w:cs="仿宋_GB2312"/>
          <w:color w:val="auto"/>
          <w:sz w:val="32"/>
          <w:szCs w:val="32"/>
          <w:highlight w:val="none"/>
        </w:rPr>
        <w:t>主体的合法权益，促进电力零售市场健康发展</w:t>
      </w:r>
      <w:r>
        <w:rPr>
          <w:rStyle w:val="12"/>
          <w:rFonts w:hint="eastAsia" w:ascii="仿宋_GB2312" w:hAnsi="仿宋_GB2312" w:eastAsia="仿宋_GB2312" w:cs="仿宋_GB2312"/>
          <w:b w:val="0"/>
          <w:bCs w:val="0"/>
          <w:i w:val="0"/>
          <w:iCs w:val="0"/>
          <w:caps w:val="0"/>
          <w:color w:val="auto"/>
          <w:spacing w:val="0"/>
          <w:sz w:val="32"/>
          <w:szCs w:val="32"/>
          <w:highlight w:val="none"/>
        </w:rPr>
        <w:t>，依据</w:t>
      </w:r>
      <w:r>
        <w:rPr>
          <w:rStyle w:val="12"/>
          <w:rFonts w:hint="eastAsia" w:ascii="仿宋_GB2312" w:hAnsi="仿宋_GB2312" w:eastAsia="仿宋_GB2312" w:cs="仿宋_GB2312"/>
          <w:b w:val="0"/>
          <w:bCs w:val="0"/>
          <w:i w:val="0"/>
          <w:iCs w:val="0"/>
          <w:caps w:val="0"/>
          <w:color w:val="auto"/>
          <w:spacing w:val="0"/>
          <w:sz w:val="32"/>
          <w:szCs w:val="32"/>
          <w:highlight w:val="none"/>
          <w:lang w:eastAsia="zh-CN"/>
        </w:rPr>
        <w:t>《电力中长期</w:t>
      </w:r>
      <w:r>
        <w:rPr>
          <w:rFonts w:hint="eastAsia" w:ascii="仿宋_GB2312" w:hAnsi="仿宋_GB2312" w:eastAsia="仿宋_GB2312" w:cs="仿宋_GB2312"/>
          <w:color w:val="auto"/>
          <w:sz w:val="32"/>
          <w:szCs w:val="32"/>
          <w:highlight w:val="none"/>
          <w:lang w:eastAsia="zh-CN"/>
        </w:rPr>
        <w:t>交易基本规则》《电力市场运行基本规则》《电力现货市场基本规则》《售电公司管理办法》《海南电力市场结算实施细则》《电力中长期交易基本规则-绿色电力交易专章》和有关法律、法规、规定</w:t>
      </w:r>
      <w:r>
        <w:rPr>
          <w:rFonts w:hint="eastAsia" w:ascii="仿宋_GB2312" w:hAnsi="仿宋_GB2312" w:eastAsia="仿宋_GB2312" w:cs="仿宋_GB2312"/>
          <w:color w:val="auto"/>
          <w:sz w:val="32"/>
          <w:szCs w:val="32"/>
          <w:highlight w:val="none"/>
        </w:rPr>
        <w:t>，特制定本细则。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Style w:val="12"/>
          <w:rFonts w:hint="eastAsia" w:ascii="黑体" w:hAnsi="黑体" w:eastAsia="黑体" w:cs="黑体"/>
          <w:b w:val="0"/>
          <w:bCs w:val="0"/>
          <w:i w:val="0"/>
          <w:iCs w:val="0"/>
          <w:caps w:val="0"/>
          <w:color w:val="auto"/>
          <w:spacing w:val="0"/>
          <w:sz w:val="32"/>
          <w:szCs w:val="32"/>
          <w:highlight w:val="none"/>
        </w:rPr>
      </w:pPr>
      <w:r>
        <w:rPr>
          <w:rStyle w:val="12"/>
          <w:rFonts w:hint="eastAsia" w:ascii="黑体" w:hAnsi="黑体" w:eastAsia="黑体" w:cs="黑体"/>
          <w:b w:val="0"/>
          <w:bCs w:val="0"/>
          <w:i w:val="0"/>
          <w:iCs w:val="0"/>
          <w:caps w:val="0"/>
          <w:color w:val="auto"/>
          <w:spacing w:val="0"/>
          <w:sz w:val="32"/>
          <w:szCs w:val="32"/>
          <w:highlight w:val="none"/>
        </w:rPr>
        <w:t>2.适用范围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2"/>
          <w:rFonts w:hint="default" w:ascii="仿宋_GB2312" w:hAnsi="仿宋_GB2312" w:eastAsia="仿宋_GB2312" w:cs="仿宋_GB2312"/>
          <w:b w:val="0"/>
          <w:bCs w:val="0"/>
          <w:i w:val="0"/>
          <w:iCs w:val="0"/>
          <w:caps w:val="0"/>
          <w:color w:val="auto"/>
          <w:spacing w:val="0"/>
          <w:sz w:val="32"/>
          <w:szCs w:val="32"/>
          <w:highlight w:val="none"/>
        </w:rPr>
      </w:pPr>
      <w:r>
        <w:rPr>
          <w:rStyle w:val="12"/>
          <w:rFonts w:hint="default" w:ascii="仿宋_GB2312" w:hAnsi="仿宋_GB2312" w:eastAsia="仿宋_GB2312" w:cs="仿宋_GB2312"/>
          <w:b w:val="0"/>
          <w:bCs w:val="0"/>
          <w:i w:val="0"/>
          <w:iCs w:val="0"/>
          <w:caps w:val="0"/>
          <w:color w:val="auto"/>
          <w:spacing w:val="0"/>
          <w:sz w:val="32"/>
          <w:szCs w:val="32"/>
          <w:highlight w:val="none"/>
        </w:rPr>
        <w:t>2.1</w:t>
      </w:r>
      <w:r>
        <w:rPr>
          <w:rStyle w:val="12"/>
          <w:rFonts w:hint="eastAsia" w:ascii="仿宋_GB2312" w:hAnsi="仿宋_GB2312" w:eastAsia="仿宋_GB2312" w:cs="仿宋_GB2312"/>
          <w:b w:val="0"/>
          <w:bCs w:val="0"/>
          <w:i w:val="0"/>
          <w:iCs w:val="0"/>
          <w:caps w:val="0"/>
          <w:color w:val="auto"/>
          <w:spacing w:val="0"/>
          <w:sz w:val="32"/>
          <w:szCs w:val="32"/>
          <w:highlight w:val="none"/>
        </w:rPr>
        <w:t>本细则适用于</w:t>
      </w:r>
      <w:r>
        <w:rPr>
          <w:rStyle w:val="12"/>
          <w:rFonts w:hint="eastAsia" w:ascii="仿宋_GB2312" w:hAnsi="仿宋_GB2312" w:eastAsia="仿宋_GB2312" w:cs="仿宋_GB2312"/>
          <w:b w:val="0"/>
          <w:bCs w:val="0"/>
          <w:i w:val="0"/>
          <w:iCs w:val="0"/>
          <w:caps w:val="0"/>
          <w:color w:val="auto"/>
          <w:spacing w:val="0"/>
          <w:sz w:val="32"/>
          <w:szCs w:val="32"/>
          <w:highlight w:val="none"/>
          <w:lang w:eastAsia="zh-CN"/>
        </w:rPr>
        <w:t>海南</w:t>
      </w:r>
      <w:r>
        <w:rPr>
          <w:rStyle w:val="12"/>
          <w:rFonts w:hint="eastAsia" w:ascii="仿宋_GB2312" w:hAnsi="仿宋_GB2312" w:eastAsia="仿宋_GB2312" w:cs="仿宋_GB2312"/>
          <w:b w:val="0"/>
          <w:bCs w:val="0"/>
          <w:i w:val="0"/>
          <w:iCs w:val="0"/>
          <w:caps w:val="0"/>
          <w:color w:val="auto"/>
          <w:spacing w:val="0"/>
          <w:sz w:val="32"/>
          <w:szCs w:val="32"/>
          <w:highlight w:val="none"/>
        </w:rPr>
        <w:t>电力市场中售电公司和</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零售市场</w:t>
      </w:r>
      <w:r>
        <w:rPr>
          <w:rStyle w:val="12"/>
          <w:rFonts w:hint="eastAsia" w:ascii="仿宋_GB2312" w:hAnsi="仿宋_GB2312" w:eastAsia="仿宋_GB2312" w:cs="仿宋_GB2312"/>
          <w:b w:val="0"/>
          <w:bCs w:val="0"/>
          <w:i w:val="0"/>
          <w:iCs w:val="0"/>
          <w:caps w:val="0"/>
          <w:color w:val="auto"/>
          <w:spacing w:val="0"/>
          <w:sz w:val="32"/>
          <w:szCs w:val="32"/>
          <w:highlight w:val="none"/>
        </w:rPr>
        <w:t>用户</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之间</w:t>
      </w:r>
      <w:r>
        <w:rPr>
          <w:rStyle w:val="12"/>
          <w:rFonts w:hint="eastAsia" w:ascii="仿宋_GB2312" w:hAnsi="仿宋_GB2312" w:eastAsia="仿宋_GB2312" w:cs="仿宋_GB2312"/>
          <w:b w:val="0"/>
          <w:bCs w:val="0"/>
          <w:i w:val="0"/>
          <w:iCs w:val="0"/>
          <w:caps w:val="0"/>
          <w:color w:val="auto"/>
          <w:spacing w:val="0"/>
          <w:sz w:val="32"/>
          <w:szCs w:val="32"/>
          <w:highlight w:val="none"/>
        </w:rPr>
        <w:t>开展的电能量交易。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Style w:val="12"/>
          <w:rFonts w:hint="default" w:ascii="仿宋_GB2312" w:hAnsi="仿宋_GB2312" w:eastAsia="仿宋_GB2312" w:cs="仿宋_GB2312"/>
          <w:b w:val="0"/>
          <w:bCs w:val="0"/>
          <w:i w:val="0"/>
          <w:iCs w:val="0"/>
          <w:caps w:val="0"/>
          <w:color w:val="auto"/>
          <w:spacing w:val="0"/>
          <w:sz w:val="32"/>
          <w:szCs w:val="32"/>
          <w:highlight w:val="none"/>
        </w:rPr>
        <w:t>2.2</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现阶段由</w:t>
      </w:r>
      <w:r>
        <w:rPr>
          <w:rFonts w:hint="eastAsia" w:ascii="仿宋_GB2312" w:hAnsi="仿宋_GB2312" w:eastAsia="仿宋_GB2312" w:cs="仿宋_GB2312"/>
          <w:color w:val="auto"/>
          <w:sz w:val="32"/>
          <w:szCs w:val="32"/>
          <w:highlight w:val="none"/>
          <w:lang w:eastAsia="zh-CN"/>
        </w:rPr>
        <w:t>海南</w:t>
      </w:r>
      <w:r>
        <w:rPr>
          <w:rFonts w:hint="eastAsia" w:ascii="仿宋_GB2312" w:hAnsi="仿宋_GB2312" w:eastAsia="仿宋_GB2312" w:cs="仿宋_GB2312"/>
          <w:color w:val="auto"/>
          <w:sz w:val="32"/>
          <w:szCs w:val="32"/>
          <w:highlight w:val="none"/>
        </w:rPr>
        <w:t>电力交易中心有限责任公司（以下简称“电力交易</w:t>
      </w:r>
      <w:r>
        <w:rPr>
          <w:rFonts w:hint="eastAsia" w:ascii="仿宋_GB2312" w:hAnsi="仿宋_GB2312" w:eastAsia="仿宋_GB2312" w:cs="仿宋_GB2312"/>
          <w:color w:val="auto"/>
          <w:sz w:val="32"/>
          <w:szCs w:val="32"/>
          <w:highlight w:val="none"/>
          <w:lang w:val="en-US" w:eastAsia="zh-CN"/>
        </w:rPr>
        <w:t>中心</w:t>
      </w:r>
      <w:r>
        <w:rPr>
          <w:rFonts w:hint="eastAsia" w:ascii="仿宋_GB2312" w:hAnsi="仿宋_GB2312" w:eastAsia="仿宋_GB2312" w:cs="仿宋_GB2312"/>
          <w:color w:val="auto"/>
          <w:sz w:val="32"/>
          <w:szCs w:val="32"/>
          <w:highlight w:val="none"/>
        </w:rPr>
        <w:t>”）负责向市场主体提供支撑</w:t>
      </w:r>
      <w:r>
        <w:rPr>
          <w:rFonts w:hint="eastAsia" w:ascii="仿宋_GB2312" w:hAnsi="仿宋_GB2312" w:eastAsia="仿宋_GB2312" w:cs="仿宋_GB2312"/>
          <w:color w:val="auto"/>
          <w:sz w:val="32"/>
          <w:szCs w:val="32"/>
          <w:highlight w:val="none"/>
          <w:lang w:eastAsia="zh-CN"/>
        </w:rPr>
        <w:t>海南</w:t>
      </w:r>
      <w:r>
        <w:rPr>
          <w:rFonts w:hint="eastAsia" w:ascii="仿宋_GB2312" w:hAnsi="仿宋_GB2312" w:eastAsia="仿宋_GB2312" w:cs="仿宋_GB2312"/>
          <w:color w:val="auto"/>
          <w:sz w:val="32"/>
          <w:szCs w:val="32"/>
          <w:highlight w:val="none"/>
        </w:rPr>
        <w:t>电力零售市场交易的信息技术系统（以下简称“</w:t>
      </w:r>
      <w:r>
        <w:rPr>
          <w:rFonts w:hint="eastAsia" w:ascii="仿宋_GB2312" w:hAnsi="仿宋_GB2312" w:eastAsia="仿宋_GB2312" w:cs="仿宋_GB2312"/>
          <w:color w:val="auto"/>
          <w:sz w:val="32"/>
          <w:szCs w:val="32"/>
          <w:highlight w:val="none"/>
          <w:lang w:val="en-US" w:eastAsia="zh-CN"/>
        </w:rPr>
        <w:t>交易</w:t>
      </w:r>
      <w:r>
        <w:rPr>
          <w:rFonts w:hint="eastAsia" w:ascii="仿宋_GB2312" w:hAnsi="仿宋_GB2312" w:eastAsia="仿宋_GB2312" w:cs="仿宋_GB2312"/>
          <w:color w:val="auto"/>
          <w:sz w:val="32"/>
          <w:szCs w:val="32"/>
          <w:highlight w:val="none"/>
        </w:rPr>
        <w:t>平台”），</w:t>
      </w:r>
      <w:r>
        <w:rPr>
          <w:rFonts w:hint="eastAsia" w:ascii="仿宋_GB2312" w:hAnsi="仿宋_GB2312" w:eastAsia="仿宋_GB2312" w:cs="仿宋_GB2312"/>
          <w:color w:val="auto"/>
          <w:sz w:val="32"/>
          <w:szCs w:val="32"/>
          <w:highlight w:val="none"/>
          <w:lang w:val="en-US" w:eastAsia="zh-CN"/>
        </w:rPr>
        <w:t>组织及</w:t>
      </w:r>
      <w:r>
        <w:rPr>
          <w:rFonts w:hint="eastAsia" w:ascii="仿宋_GB2312" w:hAnsi="仿宋_GB2312" w:eastAsia="仿宋_GB2312" w:cs="仿宋_GB2312"/>
          <w:color w:val="auto"/>
          <w:sz w:val="32"/>
          <w:szCs w:val="32"/>
          <w:highlight w:val="none"/>
        </w:rPr>
        <w:t>承担有关零售交易活动</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管理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后续视业务发展情况，建立省内电力零售交易平台</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Style w:val="12"/>
          <w:rFonts w:hint="eastAsia" w:ascii="黑体" w:hAnsi="黑体" w:eastAsia="黑体" w:cs="黑体"/>
          <w:b w:val="0"/>
          <w:bCs w:val="0"/>
          <w:i w:val="0"/>
          <w:iCs w:val="0"/>
          <w:caps w:val="0"/>
          <w:color w:val="auto"/>
          <w:spacing w:val="0"/>
          <w:sz w:val="32"/>
          <w:szCs w:val="32"/>
          <w:highlight w:val="none"/>
        </w:rPr>
      </w:pPr>
      <w:r>
        <w:rPr>
          <w:rStyle w:val="12"/>
          <w:rFonts w:hint="eastAsia" w:ascii="黑体" w:hAnsi="黑体" w:eastAsia="黑体" w:cs="黑体"/>
          <w:b w:val="0"/>
          <w:bCs w:val="0"/>
          <w:i w:val="0"/>
          <w:iCs w:val="0"/>
          <w:caps w:val="0"/>
          <w:color w:val="auto"/>
          <w:spacing w:val="0"/>
          <w:sz w:val="32"/>
          <w:szCs w:val="32"/>
          <w:highlight w:val="none"/>
        </w:rPr>
        <w:t>3.术语定义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2"/>
          <w:rFonts w:hint="default" w:ascii="仿宋_GB2312" w:hAnsi="仿宋_GB2312" w:eastAsia="仿宋_GB2312" w:cs="仿宋_GB2312"/>
          <w:b w:val="0"/>
          <w:bCs w:val="0"/>
          <w:i w:val="0"/>
          <w:iCs w:val="0"/>
          <w:caps w:val="0"/>
          <w:color w:val="auto"/>
          <w:spacing w:val="0"/>
          <w:sz w:val="32"/>
          <w:szCs w:val="32"/>
          <w:highlight w:val="none"/>
          <w:lang w:val="en-US" w:eastAsia="zh-CN"/>
        </w:rPr>
      </w:pP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3.1</w:t>
      </w:r>
      <w:r>
        <w:rPr>
          <w:rStyle w:val="12"/>
          <w:rFonts w:hint="default" w:ascii="仿宋_GB2312" w:hAnsi="仿宋_GB2312" w:eastAsia="仿宋_GB2312" w:cs="仿宋_GB2312"/>
          <w:b w:val="0"/>
          <w:bCs w:val="0"/>
          <w:i w:val="0"/>
          <w:iCs w:val="0"/>
          <w:caps w:val="0"/>
          <w:color w:val="auto"/>
          <w:spacing w:val="0"/>
          <w:sz w:val="32"/>
          <w:szCs w:val="32"/>
          <w:highlight w:val="none"/>
          <w:lang w:val="en-US" w:eastAsia="zh-CN"/>
        </w:rPr>
        <w:t>电力批发市场：发电企业、新型经营主体</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与</w:t>
      </w:r>
      <w:r>
        <w:rPr>
          <w:rStyle w:val="12"/>
          <w:rFonts w:hint="default" w:ascii="仿宋_GB2312" w:hAnsi="仿宋_GB2312" w:eastAsia="仿宋_GB2312" w:cs="仿宋_GB2312"/>
          <w:b w:val="0"/>
          <w:bCs w:val="0"/>
          <w:i w:val="0"/>
          <w:iCs w:val="0"/>
          <w:caps w:val="0"/>
          <w:color w:val="auto"/>
          <w:spacing w:val="0"/>
          <w:sz w:val="32"/>
          <w:szCs w:val="32"/>
          <w:highlight w:val="none"/>
          <w:lang w:val="en-US" w:eastAsia="zh-CN"/>
        </w:rPr>
        <w:t>批发用户、售电公司、电网企业之间进行电力交易的市场</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w:t>
      </w:r>
      <w:r>
        <w:rPr>
          <w:rStyle w:val="12"/>
          <w:rFonts w:hint="default" w:ascii="仿宋_GB2312" w:hAnsi="仿宋_GB2312" w:eastAsia="仿宋_GB2312" w:cs="仿宋_GB2312"/>
          <w:b w:val="0"/>
          <w:bCs w:val="0"/>
          <w:i w:val="0"/>
          <w:iCs w:val="0"/>
          <w:caps w:val="0"/>
          <w:color w:val="auto"/>
          <w:spacing w:val="0"/>
          <w:sz w:val="32"/>
          <w:szCs w:val="32"/>
          <w:highlight w:val="none"/>
          <w:lang w:val="en-US" w:eastAsia="zh-CN"/>
        </w:rPr>
        <w:t>下文简称“批发市场”</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w:t>
      </w:r>
      <w:r>
        <w:rPr>
          <w:rStyle w:val="12"/>
          <w:rFonts w:hint="default" w:ascii="仿宋_GB2312" w:hAnsi="仿宋_GB2312" w:eastAsia="仿宋_GB2312" w:cs="仿宋_GB2312"/>
          <w:b w:val="0"/>
          <w:bCs w:val="0"/>
          <w:i w:val="0"/>
          <w:iCs w:val="0"/>
          <w:caps w:val="0"/>
          <w:color w:val="auto"/>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2"/>
          <w:rFonts w:hint="default" w:ascii="仿宋_GB2312" w:hAnsi="仿宋_GB2312" w:eastAsia="仿宋_GB2312" w:cs="仿宋_GB2312"/>
          <w:b w:val="0"/>
          <w:bCs w:val="0"/>
          <w:i w:val="0"/>
          <w:iCs w:val="0"/>
          <w:caps w:val="0"/>
          <w:color w:val="auto"/>
          <w:spacing w:val="0"/>
          <w:sz w:val="32"/>
          <w:szCs w:val="32"/>
          <w:highlight w:val="none"/>
          <w:lang w:val="en-US" w:eastAsia="zh-CN"/>
        </w:rPr>
      </w:pP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3.2</w:t>
      </w:r>
      <w:r>
        <w:rPr>
          <w:rStyle w:val="12"/>
          <w:rFonts w:hint="default" w:ascii="仿宋_GB2312" w:hAnsi="仿宋_GB2312" w:eastAsia="仿宋_GB2312" w:cs="仿宋_GB2312"/>
          <w:b w:val="0"/>
          <w:bCs w:val="0"/>
          <w:i w:val="0"/>
          <w:iCs w:val="0"/>
          <w:caps w:val="0"/>
          <w:color w:val="auto"/>
          <w:spacing w:val="0"/>
          <w:sz w:val="32"/>
          <w:szCs w:val="32"/>
          <w:highlight w:val="none"/>
          <w:lang w:val="en-US" w:eastAsia="zh-CN"/>
        </w:rPr>
        <w:t>批发用户：直接参与批发市场的电力用户。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2"/>
          <w:rFonts w:hint="default" w:ascii="仿宋_GB2312" w:hAnsi="仿宋_GB2312" w:eastAsia="仿宋_GB2312" w:cs="仿宋_GB2312"/>
          <w:b w:val="0"/>
          <w:bCs w:val="0"/>
          <w:i w:val="0"/>
          <w:iCs w:val="0"/>
          <w:caps w:val="0"/>
          <w:color w:val="auto"/>
          <w:spacing w:val="0"/>
          <w:sz w:val="32"/>
          <w:szCs w:val="32"/>
          <w:highlight w:val="none"/>
          <w:lang w:val="en-US" w:eastAsia="zh-CN"/>
        </w:rPr>
      </w:pP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3.3</w:t>
      </w:r>
      <w:r>
        <w:rPr>
          <w:rStyle w:val="12"/>
          <w:rFonts w:hint="default" w:ascii="仿宋_GB2312" w:hAnsi="仿宋_GB2312" w:eastAsia="仿宋_GB2312" w:cs="仿宋_GB2312"/>
          <w:b w:val="0"/>
          <w:bCs w:val="0"/>
          <w:i w:val="0"/>
          <w:iCs w:val="0"/>
          <w:caps w:val="0"/>
          <w:color w:val="auto"/>
          <w:spacing w:val="0"/>
          <w:sz w:val="32"/>
          <w:szCs w:val="32"/>
          <w:highlight w:val="none"/>
          <w:lang w:val="en-US" w:eastAsia="zh-CN"/>
        </w:rPr>
        <w:t>电力零售市场：售电公司与不直接参与批发</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市场的</w:t>
      </w:r>
      <w:r>
        <w:rPr>
          <w:rStyle w:val="12"/>
          <w:rFonts w:hint="default" w:ascii="仿宋_GB2312" w:hAnsi="仿宋_GB2312" w:eastAsia="仿宋_GB2312" w:cs="仿宋_GB2312"/>
          <w:b w:val="0"/>
          <w:bCs w:val="0"/>
          <w:i w:val="0"/>
          <w:iCs w:val="0"/>
          <w:caps w:val="0"/>
          <w:color w:val="auto"/>
          <w:spacing w:val="0"/>
          <w:sz w:val="32"/>
          <w:szCs w:val="32"/>
          <w:highlight w:val="none"/>
          <w:lang w:val="en-US" w:eastAsia="zh-CN"/>
        </w:rPr>
        <w:t>电力用户之间</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进行</w:t>
      </w:r>
      <w:r>
        <w:rPr>
          <w:rStyle w:val="12"/>
          <w:rFonts w:hint="default" w:ascii="仿宋_GB2312" w:hAnsi="仿宋_GB2312" w:eastAsia="仿宋_GB2312" w:cs="仿宋_GB2312"/>
          <w:b w:val="0"/>
          <w:bCs w:val="0"/>
          <w:i w:val="0"/>
          <w:iCs w:val="0"/>
          <w:caps w:val="0"/>
          <w:color w:val="auto"/>
          <w:spacing w:val="0"/>
          <w:sz w:val="32"/>
          <w:szCs w:val="32"/>
          <w:highlight w:val="none"/>
          <w:lang w:val="en-US" w:eastAsia="zh-CN"/>
        </w:rPr>
        <w:t>电力交易的市场</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w:t>
      </w:r>
      <w:r>
        <w:rPr>
          <w:rStyle w:val="12"/>
          <w:rFonts w:hint="default" w:ascii="仿宋_GB2312" w:hAnsi="仿宋_GB2312" w:eastAsia="仿宋_GB2312" w:cs="仿宋_GB2312"/>
          <w:b w:val="0"/>
          <w:bCs w:val="0"/>
          <w:i w:val="0"/>
          <w:iCs w:val="0"/>
          <w:caps w:val="0"/>
          <w:color w:val="auto"/>
          <w:spacing w:val="0"/>
          <w:sz w:val="32"/>
          <w:szCs w:val="32"/>
          <w:highlight w:val="none"/>
          <w:lang w:val="en-US" w:eastAsia="zh-CN"/>
        </w:rPr>
        <w:t>下文简称“零售市场”</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w:t>
      </w:r>
      <w:r>
        <w:rPr>
          <w:rStyle w:val="12"/>
          <w:rFonts w:hint="default" w:ascii="仿宋_GB2312" w:hAnsi="仿宋_GB2312" w:eastAsia="仿宋_GB2312" w:cs="仿宋_GB2312"/>
          <w:b w:val="0"/>
          <w:bCs w:val="0"/>
          <w:i w:val="0"/>
          <w:iCs w:val="0"/>
          <w:caps w:val="0"/>
          <w:color w:val="auto"/>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2"/>
          <w:rFonts w:hint="default" w:ascii="仿宋_GB2312" w:hAnsi="仿宋_GB2312" w:eastAsia="仿宋_GB2312" w:cs="仿宋_GB2312"/>
          <w:b w:val="0"/>
          <w:bCs w:val="0"/>
          <w:i w:val="0"/>
          <w:iCs w:val="0"/>
          <w:caps w:val="0"/>
          <w:color w:val="auto"/>
          <w:spacing w:val="0"/>
          <w:sz w:val="32"/>
          <w:szCs w:val="32"/>
          <w:highlight w:val="none"/>
          <w:lang w:val="en-US" w:eastAsia="zh-CN"/>
        </w:rPr>
      </w:pP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3.4</w:t>
      </w:r>
      <w:r>
        <w:rPr>
          <w:rStyle w:val="12"/>
          <w:rFonts w:hint="default" w:ascii="仿宋_GB2312" w:hAnsi="仿宋_GB2312" w:eastAsia="仿宋_GB2312" w:cs="仿宋_GB2312"/>
          <w:b w:val="0"/>
          <w:bCs w:val="0"/>
          <w:i w:val="0"/>
          <w:iCs w:val="0"/>
          <w:caps w:val="0"/>
          <w:color w:val="auto"/>
          <w:spacing w:val="0"/>
          <w:sz w:val="32"/>
          <w:szCs w:val="32"/>
          <w:highlight w:val="none"/>
          <w:lang w:val="en-US" w:eastAsia="zh-CN"/>
        </w:rPr>
        <w:t>零售市场用户：</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不直接参与批发市场</w:t>
      </w:r>
      <w:r>
        <w:rPr>
          <w:rStyle w:val="12"/>
          <w:rFonts w:hint="default" w:ascii="仿宋_GB2312" w:hAnsi="仿宋_GB2312" w:eastAsia="仿宋_GB2312" w:cs="仿宋_GB2312"/>
          <w:b w:val="0"/>
          <w:bCs w:val="0"/>
          <w:i w:val="0"/>
          <w:iCs w:val="0"/>
          <w:caps w:val="0"/>
          <w:color w:val="auto"/>
          <w:spacing w:val="0"/>
          <w:sz w:val="32"/>
          <w:szCs w:val="32"/>
          <w:highlight w:val="none"/>
          <w:lang w:val="en-US" w:eastAsia="zh-CN"/>
        </w:rPr>
        <w:t>的电力用户</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w:t>
      </w:r>
      <w:r>
        <w:rPr>
          <w:rStyle w:val="12"/>
          <w:rFonts w:hint="default" w:ascii="仿宋_GB2312" w:hAnsi="仿宋_GB2312" w:eastAsia="仿宋_GB2312" w:cs="仿宋_GB2312"/>
          <w:b w:val="0"/>
          <w:bCs w:val="0"/>
          <w:i w:val="0"/>
          <w:iCs w:val="0"/>
          <w:caps w:val="0"/>
          <w:color w:val="auto"/>
          <w:spacing w:val="0"/>
          <w:sz w:val="32"/>
          <w:szCs w:val="32"/>
          <w:highlight w:val="none"/>
          <w:lang w:val="en-US" w:eastAsia="zh-CN"/>
        </w:rPr>
        <w:t>下文简称“零售用户”</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pP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3.5保底零售用户：由于售电公司退市等因素影响其参与零售市场，需由电力交易中心组织启动保底售电服务的电力用户。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2"/>
          <w:rFonts w:hint="default" w:ascii="仿宋_GB2312" w:hAnsi="仿宋_GB2312" w:eastAsia="仿宋_GB2312" w:cs="仿宋_GB2312"/>
          <w:b w:val="0"/>
          <w:bCs w:val="0"/>
          <w:i w:val="0"/>
          <w:iCs w:val="0"/>
          <w:caps w:val="0"/>
          <w:color w:val="auto"/>
          <w:spacing w:val="0"/>
          <w:sz w:val="32"/>
          <w:szCs w:val="32"/>
          <w:highlight w:val="none"/>
          <w:lang w:val="en-US" w:eastAsia="zh-CN"/>
        </w:rPr>
      </w:pP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3.6无合同用户：已直接参与市场交易，但在结算周期内未签订零售合同、未参与批发市场交易，也未办理退市手续转由电网企业代理购电的电力用户。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2"/>
          <w:rFonts w:hint="eastAsia" w:ascii="仿宋_GB2312" w:hAnsi="仿宋_GB2312" w:eastAsia="仿宋_GB2312" w:cs="仿宋_GB2312"/>
          <w:b w:val="0"/>
          <w:bCs w:val="0"/>
          <w:i w:val="0"/>
          <w:iCs w:val="0"/>
          <w:caps w:val="0"/>
          <w:color w:val="auto"/>
          <w:spacing w:val="0"/>
          <w:sz w:val="32"/>
          <w:szCs w:val="32"/>
          <w:highlight w:val="none"/>
        </w:rPr>
      </w:pP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3</w:t>
      </w:r>
      <w:r>
        <w:rPr>
          <w:rStyle w:val="12"/>
          <w:rFonts w:hint="eastAsia" w:ascii="仿宋_GB2312" w:hAnsi="仿宋_GB2312" w:eastAsia="仿宋_GB2312" w:cs="仿宋_GB2312"/>
          <w:b w:val="0"/>
          <w:bCs w:val="0"/>
          <w:i w:val="0"/>
          <w:iCs w:val="0"/>
          <w:caps w:val="0"/>
          <w:color w:val="auto"/>
          <w:spacing w:val="0"/>
          <w:sz w:val="32"/>
          <w:szCs w:val="32"/>
          <w:highlight w:val="none"/>
        </w:rPr>
        <w:t>.</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7</w:t>
      </w:r>
      <w:r>
        <w:rPr>
          <w:rStyle w:val="12"/>
          <w:rFonts w:hint="eastAsia" w:ascii="仿宋_GB2312" w:hAnsi="仿宋_GB2312" w:eastAsia="仿宋_GB2312" w:cs="仿宋_GB2312"/>
          <w:b w:val="0"/>
          <w:bCs w:val="0"/>
          <w:i w:val="0"/>
          <w:iCs w:val="0"/>
          <w:caps w:val="0"/>
          <w:color w:val="auto"/>
          <w:spacing w:val="0"/>
          <w:sz w:val="32"/>
          <w:szCs w:val="32"/>
          <w:highlight w:val="none"/>
        </w:rPr>
        <w:t>零售交易：售电公司和电力用户</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通过挂牌、邀约交易方式或线下协商线上交易等方式</w:t>
      </w:r>
      <w:r>
        <w:rPr>
          <w:rStyle w:val="12"/>
          <w:rFonts w:hint="eastAsia" w:ascii="仿宋_GB2312" w:hAnsi="仿宋_GB2312" w:eastAsia="仿宋_GB2312" w:cs="仿宋_GB2312"/>
          <w:b w:val="0"/>
          <w:bCs w:val="0"/>
          <w:i w:val="0"/>
          <w:iCs w:val="0"/>
          <w:caps w:val="0"/>
          <w:color w:val="auto"/>
          <w:spacing w:val="0"/>
          <w:sz w:val="32"/>
          <w:szCs w:val="32"/>
          <w:highlight w:val="none"/>
        </w:rPr>
        <w:t>，就零售结算模式、合同期限等关键信息</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选定零售套餐</w:t>
      </w:r>
      <w:r>
        <w:rPr>
          <w:rStyle w:val="12"/>
          <w:rFonts w:hint="eastAsia" w:ascii="仿宋_GB2312" w:hAnsi="仿宋_GB2312" w:eastAsia="仿宋_GB2312" w:cs="仿宋_GB2312"/>
          <w:b w:val="0"/>
          <w:bCs w:val="0"/>
          <w:i w:val="0"/>
          <w:iCs w:val="0"/>
          <w:caps w:val="0"/>
          <w:color w:val="auto"/>
          <w:spacing w:val="0"/>
          <w:sz w:val="32"/>
          <w:szCs w:val="32"/>
          <w:highlight w:val="none"/>
        </w:rPr>
        <w:t>，</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通过</w:t>
      </w:r>
      <w:r>
        <w:rPr>
          <w:rStyle w:val="12"/>
          <w:rFonts w:hint="eastAsia" w:ascii="仿宋_GB2312" w:hAnsi="仿宋_GB2312" w:eastAsia="仿宋_GB2312" w:cs="仿宋_GB2312"/>
          <w:b w:val="0"/>
          <w:bCs w:val="0"/>
          <w:i w:val="0"/>
          <w:iCs w:val="0"/>
          <w:caps w:val="0"/>
          <w:color w:val="auto"/>
          <w:spacing w:val="0"/>
          <w:sz w:val="32"/>
          <w:szCs w:val="32"/>
          <w:highlight w:val="none"/>
        </w:rPr>
        <w:t>交易</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平台</w:t>
      </w:r>
      <w:r>
        <w:rPr>
          <w:rStyle w:val="12"/>
          <w:rFonts w:hint="eastAsia" w:ascii="仿宋_GB2312" w:hAnsi="仿宋_GB2312" w:eastAsia="仿宋_GB2312" w:cs="仿宋_GB2312"/>
          <w:b w:val="0"/>
          <w:bCs w:val="0"/>
          <w:i w:val="0"/>
          <w:iCs w:val="0"/>
          <w:caps w:val="0"/>
          <w:color w:val="auto"/>
          <w:spacing w:val="0"/>
          <w:sz w:val="32"/>
          <w:szCs w:val="32"/>
          <w:highlight w:val="none"/>
        </w:rPr>
        <w:t>完成电子零售合同签订和登记备案的过程。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pP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3</w:t>
      </w:r>
      <w:r>
        <w:rPr>
          <w:rStyle w:val="12"/>
          <w:rFonts w:hint="eastAsia" w:ascii="仿宋_GB2312" w:hAnsi="仿宋_GB2312" w:eastAsia="仿宋_GB2312" w:cs="仿宋_GB2312"/>
          <w:b w:val="0"/>
          <w:bCs w:val="0"/>
          <w:i w:val="0"/>
          <w:iCs w:val="0"/>
          <w:caps w:val="0"/>
          <w:color w:val="auto"/>
          <w:spacing w:val="0"/>
          <w:sz w:val="32"/>
          <w:szCs w:val="32"/>
          <w:highlight w:val="none"/>
        </w:rPr>
        <w:t>.</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8</w:t>
      </w:r>
      <w:r>
        <w:rPr>
          <w:rStyle w:val="12"/>
          <w:rFonts w:hint="eastAsia" w:ascii="仿宋_GB2312" w:hAnsi="仿宋_GB2312" w:eastAsia="仿宋_GB2312" w:cs="仿宋_GB2312"/>
          <w:b w:val="0"/>
          <w:bCs w:val="0"/>
          <w:i w:val="0"/>
          <w:iCs w:val="0"/>
          <w:caps w:val="0"/>
          <w:color w:val="auto"/>
          <w:spacing w:val="0"/>
          <w:sz w:val="32"/>
          <w:szCs w:val="32"/>
          <w:highlight w:val="none"/>
        </w:rPr>
        <w:t>零售关系：售电公司与零售用户协商一致，确立的由售电公司代理零售用户参与</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批发</w:t>
      </w:r>
      <w:r>
        <w:rPr>
          <w:rStyle w:val="12"/>
          <w:rFonts w:hint="eastAsia" w:ascii="仿宋_GB2312" w:hAnsi="仿宋_GB2312" w:eastAsia="仿宋_GB2312" w:cs="仿宋_GB2312"/>
          <w:b w:val="0"/>
          <w:bCs w:val="0"/>
          <w:i w:val="0"/>
          <w:iCs w:val="0"/>
          <w:caps w:val="0"/>
          <w:color w:val="auto"/>
          <w:spacing w:val="0"/>
          <w:sz w:val="32"/>
          <w:szCs w:val="32"/>
          <w:highlight w:val="none"/>
        </w:rPr>
        <w:t>市场的关系。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2"/>
          <w:rFonts w:hint="eastAsia" w:ascii="仿宋_GB2312" w:hAnsi="仿宋_GB2312" w:eastAsia="仿宋_GB2312" w:cs="仿宋_GB2312"/>
          <w:b w:val="0"/>
          <w:bCs w:val="0"/>
          <w:i w:val="0"/>
          <w:iCs w:val="0"/>
          <w:caps w:val="0"/>
          <w:color w:val="auto"/>
          <w:spacing w:val="0"/>
          <w:sz w:val="32"/>
          <w:szCs w:val="32"/>
          <w:highlight w:val="none"/>
        </w:rPr>
      </w:pP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3</w:t>
      </w:r>
      <w:r>
        <w:rPr>
          <w:rStyle w:val="12"/>
          <w:rFonts w:hint="eastAsia" w:ascii="仿宋_GB2312" w:hAnsi="仿宋_GB2312" w:eastAsia="仿宋_GB2312" w:cs="仿宋_GB2312"/>
          <w:b w:val="0"/>
          <w:bCs w:val="0"/>
          <w:i w:val="0"/>
          <w:iCs w:val="0"/>
          <w:caps w:val="0"/>
          <w:color w:val="auto"/>
          <w:spacing w:val="0"/>
          <w:sz w:val="32"/>
          <w:szCs w:val="32"/>
          <w:highlight w:val="none"/>
        </w:rPr>
        <w:t>.</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9</w:t>
      </w:r>
      <w:r>
        <w:rPr>
          <w:rStyle w:val="12"/>
          <w:rFonts w:hint="eastAsia" w:ascii="仿宋_GB2312" w:hAnsi="仿宋_GB2312" w:eastAsia="仿宋_GB2312" w:cs="仿宋_GB2312"/>
          <w:b w:val="0"/>
          <w:bCs w:val="0"/>
          <w:i w:val="0"/>
          <w:iCs w:val="0"/>
          <w:caps w:val="0"/>
          <w:color w:val="auto"/>
          <w:spacing w:val="0"/>
          <w:sz w:val="32"/>
          <w:szCs w:val="32"/>
          <w:highlight w:val="none"/>
        </w:rPr>
        <w:t>零售合同范本：交易中心统一编制的零售合同范本</w:t>
      </w:r>
      <w:r>
        <w:rPr>
          <w:rStyle w:val="12"/>
          <w:rFonts w:hint="eastAsia" w:ascii="仿宋_GB2312" w:hAnsi="仿宋_GB2312" w:eastAsia="仿宋_GB2312" w:cs="仿宋_GB2312"/>
          <w:b w:val="0"/>
          <w:bCs w:val="0"/>
          <w:i w:val="0"/>
          <w:iCs w:val="0"/>
          <w:caps w:val="0"/>
          <w:color w:val="auto"/>
          <w:spacing w:val="0"/>
          <w:sz w:val="32"/>
          <w:szCs w:val="32"/>
          <w:highlight w:val="none"/>
          <w:lang w:eastAsia="zh-CN"/>
        </w:rPr>
        <w:t>，</w:t>
      </w:r>
      <w:r>
        <w:rPr>
          <w:rStyle w:val="12"/>
          <w:rFonts w:hint="eastAsia" w:ascii="仿宋_GB2312" w:hAnsi="仿宋_GB2312" w:eastAsia="仿宋_GB2312" w:cs="仿宋_GB2312"/>
          <w:b w:val="0"/>
          <w:bCs w:val="0"/>
          <w:i w:val="0"/>
          <w:iCs w:val="0"/>
          <w:caps w:val="0"/>
          <w:color w:val="auto"/>
          <w:spacing w:val="0"/>
          <w:sz w:val="32"/>
          <w:szCs w:val="32"/>
          <w:highlight w:val="none"/>
        </w:rPr>
        <w:t>并根据市场实际及运营要求开展零售合同范本的修订以满足零售市场需求。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2"/>
          <w:rFonts w:hint="default" w:ascii="仿宋_GB2312" w:hAnsi="仿宋_GB2312" w:eastAsia="仿宋_GB2312" w:cs="仿宋_GB2312"/>
          <w:b w:val="0"/>
          <w:bCs w:val="0"/>
          <w:i w:val="0"/>
          <w:iCs w:val="0"/>
          <w:caps w:val="0"/>
          <w:color w:val="auto"/>
          <w:spacing w:val="0"/>
          <w:sz w:val="32"/>
          <w:szCs w:val="32"/>
          <w:highlight w:val="none"/>
          <w:lang w:val="en-US" w:eastAsia="zh-CN"/>
        </w:rPr>
      </w:pP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3</w:t>
      </w:r>
      <w:r>
        <w:rPr>
          <w:rStyle w:val="12"/>
          <w:rFonts w:hint="eastAsia" w:ascii="仿宋_GB2312" w:hAnsi="仿宋_GB2312" w:eastAsia="仿宋_GB2312" w:cs="仿宋_GB2312"/>
          <w:b w:val="0"/>
          <w:bCs w:val="0"/>
          <w:i w:val="0"/>
          <w:iCs w:val="0"/>
          <w:caps w:val="0"/>
          <w:color w:val="auto"/>
          <w:spacing w:val="0"/>
          <w:sz w:val="32"/>
          <w:szCs w:val="32"/>
          <w:highlight w:val="none"/>
        </w:rPr>
        <w:t>.</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10</w:t>
      </w:r>
      <w:r>
        <w:rPr>
          <w:rStyle w:val="12"/>
          <w:rFonts w:hint="eastAsia" w:ascii="仿宋_GB2312" w:hAnsi="仿宋_GB2312" w:eastAsia="仿宋_GB2312" w:cs="仿宋_GB2312"/>
          <w:b w:val="0"/>
          <w:bCs w:val="0"/>
          <w:i w:val="0"/>
          <w:iCs w:val="0"/>
          <w:caps w:val="0"/>
          <w:color w:val="auto"/>
          <w:spacing w:val="0"/>
          <w:sz w:val="32"/>
          <w:szCs w:val="32"/>
          <w:highlight w:val="none"/>
        </w:rPr>
        <w:t>零售合同：售电公司与</w:t>
      </w:r>
      <w:bookmarkStart w:id="109" w:name="_GoBack"/>
      <w:bookmarkEnd w:id="109"/>
      <w:r>
        <w:rPr>
          <w:rStyle w:val="12"/>
          <w:rFonts w:hint="eastAsia" w:ascii="仿宋_GB2312" w:hAnsi="仿宋_GB2312" w:eastAsia="仿宋_GB2312" w:cs="仿宋_GB2312"/>
          <w:b w:val="0"/>
          <w:bCs w:val="0"/>
          <w:i w:val="0"/>
          <w:iCs w:val="0"/>
          <w:caps w:val="0"/>
          <w:color w:val="auto"/>
          <w:spacing w:val="0"/>
          <w:sz w:val="32"/>
          <w:szCs w:val="32"/>
          <w:highlight w:val="none"/>
        </w:rPr>
        <w:t>零售用户之间的代理关系合同，用于明确双方主体、零售关系、零售</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套餐</w:t>
      </w:r>
      <w:r>
        <w:rPr>
          <w:rStyle w:val="12"/>
          <w:rFonts w:hint="eastAsia" w:ascii="仿宋_GB2312" w:hAnsi="仿宋_GB2312" w:eastAsia="仿宋_GB2312" w:cs="仿宋_GB2312"/>
          <w:b w:val="0"/>
          <w:bCs w:val="0"/>
          <w:i w:val="0"/>
          <w:iCs w:val="0"/>
          <w:caps w:val="0"/>
          <w:color w:val="auto"/>
          <w:spacing w:val="0"/>
          <w:sz w:val="32"/>
          <w:szCs w:val="32"/>
          <w:highlight w:val="none"/>
        </w:rPr>
        <w:t>、合同期限</w:t>
      </w:r>
      <w:r>
        <w:rPr>
          <w:rStyle w:val="12"/>
          <w:rFonts w:hint="eastAsia" w:ascii="仿宋_GB2312" w:hAnsi="仿宋_GB2312" w:eastAsia="仿宋_GB2312" w:cs="仿宋_GB2312"/>
          <w:b w:val="0"/>
          <w:bCs w:val="0"/>
          <w:i w:val="0"/>
          <w:iCs w:val="0"/>
          <w:caps w:val="0"/>
          <w:color w:val="auto"/>
          <w:spacing w:val="0"/>
          <w:sz w:val="32"/>
          <w:szCs w:val="32"/>
          <w:highlight w:val="none"/>
          <w:lang w:eastAsia="zh-CN"/>
        </w:rPr>
        <w:t>、</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参数</w:t>
      </w:r>
      <w:r>
        <w:rPr>
          <w:rStyle w:val="12"/>
          <w:rFonts w:hint="eastAsia" w:ascii="仿宋_GB2312" w:hAnsi="仿宋_GB2312" w:eastAsia="仿宋_GB2312" w:cs="仿宋_GB2312"/>
          <w:b w:val="0"/>
          <w:bCs w:val="0"/>
          <w:i w:val="0"/>
          <w:iCs w:val="0"/>
          <w:caps w:val="0"/>
          <w:color w:val="auto"/>
          <w:spacing w:val="0"/>
          <w:sz w:val="32"/>
          <w:szCs w:val="32"/>
          <w:highlight w:val="none"/>
        </w:rPr>
        <w:t>等零售合同关键信息，以及与市场化交易相关的权利和义务等内容。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Style w:val="12"/>
          <w:rFonts w:hint="eastAsia" w:ascii="黑体" w:hAnsi="黑体" w:eastAsia="黑体" w:cs="黑体"/>
          <w:b w:val="0"/>
          <w:bCs w:val="0"/>
          <w:i w:val="0"/>
          <w:iCs w:val="0"/>
          <w:caps w:val="0"/>
          <w:color w:val="auto"/>
          <w:spacing w:val="0"/>
          <w:sz w:val="32"/>
          <w:szCs w:val="32"/>
          <w:highlight w:val="none"/>
          <w:lang w:val="en-US" w:eastAsia="zh-CN"/>
        </w:rPr>
      </w:pPr>
      <w:r>
        <w:rPr>
          <w:rStyle w:val="12"/>
          <w:rFonts w:hint="eastAsia" w:ascii="黑体" w:hAnsi="黑体" w:eastAsia="黑体" w:cs="黑体"/>
          <w:b w:val="0"/>
          <w:bCs w:val="0"/>
          <w:i w:val="0"/>
          <w:iCs w:val="0"/>
          <w:caps w:val="0"/>
          <w:color w:val="auto"/>
          <w:spacing w:val="0"/>
          <w:sz w:val="32"/>
          <w:szCs w:val="32"/>
          <w:highlight w:val="none"/>
          <w:lang w:val="en-US" w:eastAsia="zh-CN"/>
        </w:rPr>
        <w:t>4</w:t>
      </w:r>
      <w:r>
        <w:rPr>
          <w:rStyle w:val="12"/>
          <w:rFonts w:hint="eastAsia" w:ascii="黑体" w:hAnsi="黑体" w:eastAsia="黑体" w:cs="黑体"/>
          <w:b w:val="0"/>
          <w:bCs w:val="0"/>
          <w:i w:val="0"/>
          <w:iCs w:val="0"/>
          <w:caps w:val="0"/>
          <w:color w:val="auto"/>
          <w:spacing w:val="0"/>
          <w:sz w:val="32"/>
          <w:szCs w:val="32"/>
          <w:highlight w:val="none"/>
        </w:rPr>
        <w:t>.</w:t>
      </w:r>
      <w:r>
        <w:rPr>
          <w:rStyle w:val="12"/>
          <w:rFonts w:hint="eastAsia" w:ascii="黑体" w:hAnsi="黑体" w:eastAsia="黑体" w:cs="黑体"/>
          <w:b w:val="0"/>
          <w:bCs w:val="0"/>
          <w:i w:val="0"/>
          <w:iCs w:val="0"/>
          <w:caps w:val="0"/>
          <w:color w:val="auto"/>
          <w:spacing w:val="0"/>
          <w:sz w:val="32"/>
          <w:szCs w:val="32"/>
          <w:highlight w:val="none"/>
          <w:lang w:val="en-US" w:eastAsia="zh-CN"/>
        </w:rPr>
        <w:t>权利与义务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Style w:val="12"/>
          <w:rFonts w:hint="eastAsia" w:ascii="仿宋_GB2312" w:hAnsi="仿宋_GB2312" w:eastAsia="仿宋_GB2312" w:cs="仿宋_GB2312"/>
          <w:b/>
          <w:bCs/>
          <w:i w:val="0"/>
          <w:iCs w:val="0"/>
          <w:caps w:val="0"/>
          <w:color w:val="auto"/>
          <w:spacing w:val="0"/>
          <w:sz w:val="32"/>
          <w:szCs w:val="32"/>
          <w:highlight w:val="none"/>
        </w:rPr>
      </w:pPr>
      <w:r>
        <w:rPr>
          <w:rStyle w:val="12"/>
          <w:rFonts w:hint="eastAsia" w:ascii="仿宋_GB2312" w:hAnsi="仿宋_GB2312" w:eastAsia="仿宋_GB2312" w:cs="仿宋_GB2312"/>
          <w:b/>
          <w:bCs/>
          <w:i w:val="0"/>
          <w:iCs w:val="0"/>
          <w:caps w:val="0"/>
          <w:color w:val="auto"/>
          <w:spacing w:val="0"/>
          <w:sz w:val="32"/>
          <w:szCs w:val="32"/>
          <w:highlight w:val="none"/>
          <w:lang w:val="en-US" w:eastAsia="zh-CN"/>
        </w:rPr>
        <w:t>4</w:t>
      </w:r>
      <w:r>
        <w:rPr>
          <w:rStyle w:val="12"/>
          <w:rFonts w:hint="eastAsia" w:ascii="仿宋_GB2312" w:hAnsi="仿宋_GB2312" w:eastAsia="仿宋_GB2312" w:cs="仿宋_GB2312"/>
          <w:b/>
          <w:bCs/>
          <w:i w:val="0"/>
          <w:iCs w:val="0"/>
          <w:caps w:val="0"/>
          <w:color w:val="auto"/>
          <w:spacing w:val="0"/>
          <w:sz w:val="32"/>
          <w:szCs w:val="32"/>
          <w:highlight w:val="none"/>
        </w:rPr>
        <w:t>.1</w:t>
      </w:r>
      <w:r>
        <w:rPr>
          <w:rFonts w:hint="eastAsia" w:ascii="仿宋_GB2312" w:hAnsi="仿宋_GB2312" w:eastAsia="仿宋_GB2312" w:cs="仿宋_GB2312"/>
          <w:b/>
          <w:bCs/>
          <w:color w:val="auto"/>
          <w:sz w:val="32"/>
          <w:szCs w:val="32"/>
          <w:highlight w:val="none"/>
        </w:rPr>
        <w:t>售电公司的权利与义务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Style w:val="12"/>
          <w:rFonts w:hint="eastAsia" w:ascii="仿宋_GB2312" w:hAnsi="仿宋_GB2312" w:eastAsia="仿宋_GB2312" w:cs="仿宋_GB2312"/>
          <w:b w:val="0"/>
          <w:bCs w:val="0"/>
          <w:i w:val="0"/>
          <w:iCs w:val="0"/>
          <w:caps w:val="0"/>
          <w:color w:val="auto"/>
          <w:spacing w:val="0"/>
          <w:sz w:val="32"/>
          <w:szCs w:val="32"/>
          <w:highlight w:val="none"/>
        </w:rPr>
      </w:pP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4</w:t>
      </w:r>
      <w:r>
        <w:rPr>
          <w:rStyle w:val="12"/>
          <w:rFonts w:hint="eastAsia" w:ascii="仿宋_GB2312" w:hAnsi="仿宋_GB2312" w:eastAsia="仿宋_GB2312" w:cs="仿宋_GB2312"/>
          <w:b w:val="0"/>
          <w:bCs w:val="0"/>
          <w:i w:val="0"/>
          <w:iCs w:val="0"/>
          <w:caps w:val="0"/>
          <w:color w:val="auto"/>
          <w:spacing w:val="0"/>
          <w:sz w:val="32"/>
          <w:szCs w:val="32"/>
          <w:highlight w:val="none"/>
        </w:rPr>
        <w:t>.1.1</w:t>
      </w:r>
      <w:r>
        <w:rPr>
          <w:rFonts w:hint="eastAsia" w:ascii="仿宋_GB2312" w:hAnsi="仿宋_GB2312" w:eastAsia="仿宋_GB2312" w:cs="仿宋_GB2312"/>
          <w:color w:val="auto"/>
          <w:sz w:val="32"/>
          <w:szCs w:val="32"/>
          <w:highlight w:val="none"/>
        </w:rPr>
        <w:t>按照规则参与电力市场交易，</w:t>
      </w:r>
      <w:r>
        <w:rPr>
          <w:rFonts w:hint="eastAsia" w:ascii="仿宋_GB2312" w:hAnsi="仿宋_GB2312" w:eastAsia="仿宋_GB2312" w:cs="仿宋_GB2312"/>
          <w:color w:val="auto"/>
          <w:sz w:val="32"/>
          <w:szCs w:val="32"/>
          <w:highlight w:val="none"/>
          <w:lang w:val="en-US" w:eastAsia="zh-CN"/>
        </w:rPr>
        <w:t>签订和</w:t>
      </w:r>
      <w:r>
        <w:rPr>
          <w:rFonts w:hint="eastAsia" w:ascii="仿宋_GB2312" w:hAnsi="仿宋_GB2312" w:eastAsia="仿宋_GB2312" w:cs="仿宋_GB2312"/>
          <w:color w:val="auto"/>
          <w:sz w:val="32"/>
          <w:szCs w:val="32"/>
          <w:highlight w:val="none"/>
        </w:rPr>
        <w:t>履行购售电合同、零售合同,并承担相关违约责任。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.1.2在合同有效期内，依据合同获取相关方履行合同的信息及资料。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Style w:val="12"/>
          <w:rFonts w:hint="eastAsia" w:ascii="仿宋_GB2312" w:hAnsi="仿宋_GB2312" w:eastAsia="仿宋_GB2312" w:cs="仿宋_GB2312"/>
          <w:b w:val="0"/>
          <w:bCs w:val="0"/>
          <w:i w:val="0"/>
          <w:iCs w:val="0"/>
          <w:caps w:val="0"/>
          <w:color w:val="auto"/>
          <w:spacing w:val="0"/>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.1.3向电力用户提供市场规则、结算依据等解释咨询</w:t>
      </w:r>
      <w:r>
        <w:rPr>
          <w:rStyle w:val="12"/>
          <w:rFonts w:hint="eastAsia" w:ascii="仿宋_GB2312" w:hAnsi="仿宋_GB2312" w:eastAsia="仿宋_GB2312" w:cs="仿宋_GB2312"/>
          <w:b w:val="0"/>
          <w:bCs w:val="0"/>
          <w:i w:val="0"/>
          <w:iCs w:val="0"/>
          <w:caps w:val="0"/>
          <w:color w:val="auto"/>
          <w:spacing w:val="0"/>
          <w:sz w:val="32"/>
          <w:szCs w:val="32"/>
          <w:highlight w:val="none"/>
        </w:rPr>
        <w:t>服务，协助电力用户及时签</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订</w:t>
      </w:r>
      <w:r>
        <w:rPr>
          <w:rStyle w:val="12"/>
          <w:rFonts w:hint="eastAsia" w:ascii="仿宋_GB2312" w:hAnsi="仿宋_GB2312" w:eastAsia="仿宋_GB2312" w:cs="仿宋_GB2312"/>
          <w:b w:val="0"/>
          <w:bCs w:val="0"/>
          <w:i w:val="0"/>
          <w:iCs w:val="0"/>
          <w:caps w:val="0"/>
          <w:color w:val="auto"/>
          <w:spacing w:val="0"/>
          <w:sz w:val="32"/>
          <w:szCs w:val="32"/>
          <w:highlight w:val="none"/>
        </w:rPr>
        <w:t>零售合同、固化零售结算模式。</w:t>
      </w:r>
      <w:r>
        <w:rPr>
          <w:rFonts w:hint="eastAsia" w:ascii="仿宋_GB2312" w:hAnsi="仿宋_GB2312" w:eastAsia="仿宋_GB2312" w:cs="仿宋_GB2312"/>
          <w:color w:val="auto"/>
          <w:sz w:val="32"/>
          <w:szCs w:val="32"/>
          <w:highlight w:val="none"/>
        </w:rPr>
        <w:t>积极向代理用户（含保底服务用户）做好市场风险信息传递，确保信息的及时性、全面性。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Style w:val="12"/>
          <w:rFonts w:hint="eastAsia" w:ascii="仿宋_GB2312" w:hAnsi="仿宋_GB2312" w:eastAsia="仿宋_GB2312" w:cs="仿宋_GB2312"/>
          <w:b w:val="0"/>
          <w:bCs w:val="0"/>
          <w:i w:val="0"/>
          <w:iCs w:val="0"/>
          <w:caps w:val="0"/>
          <w:color w:val="auto"/>
          <w:spacing w:val="0"/>
          <w:sz w:val="32"/>
          <w:szCs w:val="32"/>
          <w:highlight w:val="none"/>
        </w:rPr>
      </w:pP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4</w:t>
      </w:r>
      <w:r>
        <w:rPr>
          <w:rStyle w:val="12"/>
          <w:rFonts w:hint="eastAsia" w:ascii="仿宋_GB2312" w:hAnsi="仿宋_GB2312" w:eastAsia="仿宋_GB2312" w:cs="仿宋_GB2312"/>
          <w:b w:val="0"/>
          <w:bCs w:val="0"/>
          <w:i w:val="0"/>
          <w:iCs w:val="0"/>
          <w:caps w:val="0"/>
          <w:color w:val="auto"/>
          <w:spacing w:val="0"/>
          <w:sz w:val="32"/>
          <w:szCs w:val="32"/>
          <w:highlight w:val="none"/>
        </w:rPr>
        <w:t>.1.4提供专业售电服务，履行市场规则及零售合同规定的各项义务。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4.1.5</w:t>
      </w:r>
      <w:r>
        <w:rPr>
          <w:rFonts w:hint="eastAsia" w:ascii="仿宋_GB2312" w:hAnsi="仿宋_GB2312" w:eastAsia="仿宋_GB2312" w:cs="仿宋_GB2312"/>
          <w:color w:val="auto"/>
          <w:sz w:val="32"/>
          <w:szCs w:val="32"/>
          <w:highlight w:val="none"/>
        </w:rPr>
        <w:t>应承担保密义务，不得泄露用户信息</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4.1.6</w:t>
      </w:r>
      <w:r>
        <w:rPr>
          <w:rFonts w:hint="eastAsia" w:ascii="仿宋_GB2312" w:hAnsi="仿宋_GB2312" w:eastAsia="仿宋_GB2312" w:cs="仿宋_GB2312"/>
          <w:color w:val="auto"/>
          <w:sz w:val="32"/>
          <w:szCs w:val="32"/>
          <w:highlight w:val="none"/>
        </w:rPr>
        <w:t>根据电网企业（包括增量配网企业）出具的结算通知单支付或收取结算电费、获取或开具电费发票（包括增值税专用发票）。</w:t>
      </w:r>
    </w:p>
    <w:p>
      <w:pPr>
        <w:keepNext w:val="0"/>
        <w:keepLines w:val="0"/>
        <w:spacing w:line="600" w:lineRule="exact"/>
        <w:ind w:firstLine="640" w:firstLineChars="200"/>
        <w:outlineLvl w:val="9"/>
        <w:rPr>
          <w:rFonts w:hint="eastAsia"/>
        </w:rPr>
      </w:pPr>
      <w:r>
        <w:rPr>
          <w:rFonts w:hint="eastAsia" w:ascii="仿宋_GB2312" w:hAnsi="仿宋_GB2312" w:eastAsia="仿宋_GB2312" w:cs="仿宋_GB2312"/>
          <w:color w:val="auto"/>
          <w:sz w:val="32"/>
          <w:szCs w:val="32"/>
          <w:highlight w:val="none"/>
          <w:lang w:val="en-US" w:eastAsia="zh-CN"/>
        </w:rPr>
        <w:t>4.1.7</w:t>
      </w:r>
      <w:r>
        <w:rPr>
          <w:rFonts w:hint="eastAsia" w:ascii="仿宋_GB2312" w:hAnsi="仿宋_GB2312" w:eastAsia="仿宋_GB2312" w:cs="仿宋_GB2312"/>
          <w:color w:val="auto"/>
          <w:sz w:val="32"/>
          <w:szCs w:val="32"/>
          <w:highlight w:val="none"/>
        </w:rPr>
        <w:t>法律法规</w:t>
      </w:r>
      <w:r>
        <w:rPr>
          <w:rFonts w:hint="default" w:ascii="仿宋_GB2312" w:hAnsi="仿宋_GB2312" w:eastAsia="仿宋_GB2312" w:cs="仿宋_GB2312"/>
          <w:color w:val="auto"/>
          <w:sz w:val="32"/>
          <w:szCs w:val="32"/>
          <w:highlight w:val="none"/>
        </w:rPr>
        <w:t>、</w:t>
      </w:r>
      <w:r>
        <w:rPr>
          <w:rStyle w:val="12"/>
          <w:rFonts w:hint="eastAsia" w:ascii="仿宋_GB2312" w:hAnsi="仿宋_GB2312" w:eastAsia="仿宋_GB2312" w:cs="仿宋_GB2312"/>
          <w:b w:val="0"/>
          <w:bCs w:val="0"/>
          <w:i w:val="0"/>
          <w:iCs w:val="0"/>
          <w:caps w:val="0"/>
          <w:color w:val="auto"/>
          <w:spacing w:val="0"/>
          <w:sz w:val="32"/>
          <w:szCs w:val="32"/>
          <w:highlight w:val="none"/>
        </w:rPr>
        <w:t>市场规则及零售合同</w:t>
      </w:r>
      <w:r>
        <w:rPr>
          <w:rFonts w:hint="eastAsia" w:ascii="仿宋_GB2312" w:hAnsi="仿宋_GB2312" w:eastAsia="仿宋_GB2312" w:cs="仿宋_GB2312"/>
          <w:color w:val="auto"/>
          <w:sz w:val="32"/>
          <w:szCs w:val="32"/>
          <w:highlight w:val="none"/>
        </w:rPr>
        <w:t>规定的其他权利和义务。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Style w:val="12"/>
          <w:rFonts w:hint="eastAsia" w:ascii="仿宋_GB2312" w:hAnsi="仿宋_GB2312" w:eastAsia="仿宋_GB2312" w:cs="仿宋_GB2312"/>
          <w:b/>
          <w:bCs/>
          <w:i w:val="0"/>
          <w:iCs w:val="0"/>
          <w:caps w:val="0"/>
          <w:color w:val="auto"/>
          <w:spacing w:val="0"/>
          <w:sz w:val="32"/>
          <w:szCs w:val="32"/>
          <w:highlight w:val="none"/>
          <w:lang w:val="en-US" w:eastAsia="zh-CN"/>
        </w:rPr>
      </w:pPr>
      <w:r>
        <w:rPr>
          <w:rStyle w:val="12"/>
          <w:rFonts w:hint="eastAsia" w:ascii="仿宋_GB2312" w:hAnsi="仿宋_GB2312" w:eastAsia="仿宋_GB2312" w:cs="仿宋_GB2312"/>
          <w:b/>
          <w:bCs/>
          <w:i w:val="0"/>
          <w:iCs w:val="0"/>
          <w:caps w:val="0"/>
          <w:color w:val="auto"/>
          <w:spacing w:val="0"/>
          <w:sz w:val="32"/>
          <w:szCs w:val="32"/>
          <w:highlight w:val="none"/>
          <w:lang w:val="en-US" w:eastAsia="zh-CN"/>
        </w:rPr>
        <w:t>4.2.零售用户的权利与义务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Style w:val="12"/>
          <w:rFonts w:hint="eastAsia" w:ascii="仿宋_GB2312" w:hAnsi="仿宋_GB2312" w:eastAsia="仿宋_GB2312" w:cs="仿宋_GB2312"/>
          <w:b w:val="0"/>
          <w:bCs w:val="0"/>
          <w:i w:val="0"/>
          <w:iCs w:val="0"/>
          <w:caps w:val="0"/>
          <w:color w:val="auto"/>
          <w:spacing w:val="0"/>
          <w:sz w:val="32"/>
          <w:szCs w:val="32"/>
          <w:highlight w:val="none"/>
        </w:rPr>
      </w:pP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4</w:t>
      </w:r>
      <w:r>
        <w:rPr>
          <w:rStyle w:val="12"/>
          <w:rFonts w:hint="eastAsia" w:ascii="仿宋_GB2312" w:hAnsi="仿宋_GB2312" w:eastAsia="仿宋_GB2312" w:cs="仿宋_GB2312"/>
          <w:b w:val="0"/>
          <w:bCs w:val="0"/>
          <w:i w:val="0"/>
          <w:iCs w:val="0"/>
          <w:caps w:val="0"/>
          <w:color w:val="auto"/>
          <w:spacing w:val="0"/>
          <w:sz w:val="32"/>
          <w:szCs w:val="32"/>
          <w:highlight w:val="none"/>
        </w:rPr>
        <w:t>.2.1</w:t>
      </w:r>
      <w:r>
        <w:rPr>
          <w:rFonts w:hint="eastAsia" w:ascii="仿宋_GB2312" w:hAnsi="仿宋_GB2312" w:eastAsia="仿宋_GB2312" w:cs="仿宋_GB2312"/>
          <w:color w:val="auto"/>
          <w:sz w:val="32"/>
          <w:szCs w:val="32"/>
          <w:highlight w:val="none"/>
        </w:rPr>
        <w:t>参与电力零售交易，按规定</w:t>
      </w:r>
      <w:r>
        <w:rPr>
          <w:rFonts w:hint="eastAsia" w:ascii="仿宋_GB2312" w:hAnsi="仿宋_GB2312" w:eastAsia="仿宋_GB2312" w:cs="仿宋_GB2312"/>
          <w:color w:val="auto"/>
          <w:sz w:val="32"/>
          <w:szCs w:val="32"/>
          <w:highlight w:val="none"/>
          <w:lang w:val="en-US" w:eastAsia="zh-CN"/>
        </w:rPr>
        <w:t>签订和</w:t>
      </w:r>
      <w:r>
        <w:rPr>
          <w:rFonts w:hint="eastAsia" w:ascii="仿宋_GB2312" w:hAnsi="仿宋_GB2312" w:eastAsia="仿宋_GB2312" w:cs="仿宋_GB2312"/>
          <w:color w:val="auto"/>
          <w:sz w:val="32"/>
          <w:szCs w:val="32"/>
          <w:highlight w:val="none"/>
        </w:rPr>
        <w:t>履行供用电合同、零售合同,并承担相关违约责任</w:t>
      </w:r>
      <w:r>
        <w:rPr>
          <w:rStyle w:val="12"/>
          <w:rFonts w:hint="eastAsia" w:ascii="仿宋_GB2312" w:hAnsi="仿宋_GB2312" w:eastAsia="仿宋_GB2312" w:cs="仿宋_GB2312"/>
          <w:b w:val="0"/>
          <w:bCs w:val="0"/>
          <w:i w:val="0"/>
          <w:iCs w:val="0"/>
          <w:caps w:val="0"/>
          <w:color w:val="auto"/>
          <w:spacing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Style w:val="12"/>
          <w:rFonts w:hint="eastAsia" w:ascii="仿宋_GB2312" w:hAnsi="仿宋_GB2312" w:eastAsia="仿宋_GB2312" w:cs="仿宋_GB2312"/>
          <w:b w:val="0"/>
          <w:bCs w:val="0"/>
          <w:i w:val="0"/>
          <w:iCs w:val="0"/>
          <w:caps w:val="0"/>
          <w:color w:val="auto"/>
          <w:spacing w:val="0"/>
          <w:sz w:val="32"/>
          <w:szCs w:val="32"/>
          <w:highlight w:val="none"/>
        </w:rPr>
      </w:pP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4</w:t>
      </w:r>
      <w:r>
        <w:rPr>
          <w:rStyle w:val="12"/>
          <w:rFonts w:hint="eastAsia" w:ascii="仿宋_GB2312" w:hAnsi="仿宋_GB2312" w:eastAsia="仿宋_GB2312" w:cs="仿宋_GB2312"/>
          <w:b w:val="0"/>
          <w:bCs w:val="0"/>
          <w:i w:val="0"/>
          <w:iCs w:val="0"/>
          <w:caps w:val="0"/>
          <w:color w:val="auto"/>
          <w:spacing w:val="0"/>
          <w:sz w:val="32"/>
          <w:szCs w:val="32"/>
          <w:highlight w:val="none"/>
        </w:rPr>
        <w:t>.2.2</w:t>
      </w:r>
      <w:r>
        <w:rPr>
          <w:rFonts w:hint="eastAsia" w:ascii="仿宋_GB2312" w:hAnsi="仿宋_GB2312" w:eastAsia="仿宋_GB2312" w:cs="仿宋_GB2312"/>
          <w:color w:val="auto"/>
          <w:sz w:val="32"/>
          <w:szCs w:val="32"/>
          <w:highlight w:val="none"/>
        </w:rPr>
        <w:t>按规定披露和提供信息，</w:t>
      </w:r>
      <w:r>
        <w:rPr>
          <w:rStyle w:val="12"/>
          <w:rFonts w:hint="eastAsia" w:ascii="仿宋_GB2312" w:hAnsi="仿宋_GB2312" w:eastAsia="仿宋_GB2312" w:cs="仿宋_GB2312"/>
          <w:b w:val="0"/>
          <w:bCs w:val="0"/>
          <w:i w:val="0"/>
          <w:iCs w:val="0"/>
          <w:caps w:val="0"/>
          <w:color w:val="auto"/>
          <w:spacing w:val="0"/>
          <w:sz w:val="32"/>
          <w:szCs w:val="32"/>
          <w:highlight w:val="none"/>
        </w:rPr>
        <w:t>向售电公司如实、完整提供电力交易容量、电量、负荷曲线及其他生产运行等用电信息。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4.2.3</w:t>
      </w:r>
      <w:r>
        <w:rPr>
          <w:rFonts w:hint="eastAsia" w:ascii="仿宋_GB2312" w:hAnsi="仿宋_GB2312" w:eastAsia="仿宋_GB2312" w:cs="仿宋_GB2312"/>
          <w:color w:val="auto"/>
          <w:sz w:val="32"/>
          <w:szCs w:val="32"/>
          <w:highlight w:val="none"/>
        </w:rPr>
        <w:t>根据电网企业（包括增量配网企业）出具的结算通知单支付或收取结算电费、获取或开具电费发票（包括增值税专用发票）。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Style w:val="12"/>
          <w:rFonts w:hint="eastAsia" w:ascii="仿宋_GB2312" w:hAnsi="仿宋_GB2312" w:eastAsia="仿宋_GB2312" w:cs="仿宋_GB2312"/>
          <w:b w:val="0"/>
          <w:bCs w:val="0"/>
          <w:i w:val="0"/>
          <w:iCs w:val="0"/>
          <w:caps w:val="0"/>
          <w:color w:val="auto"/>
          <w:spacing w:val="0"/>
          <w:sz w:val="32"/>
          <w:szCs w:val="32"/>
          <w:highlight w:val="none"/>
        </w:rPr>
      </w:pPr>
      <w:r>
        <w:rPr>
          <w:rFonts w:hint="eastAsia" w:ascii="仿宋_GB2312" w:hAnsi="仿宋_GB2312" w:eastAsia="仿宋_GB2312" w:cs="仿宋_GB2312"/>
          <w:color w:val="auto"/>
          <w:sz w:val="32"/>
          <w:szCs w:val="32"/>
          <w:highlight w:val="none"/>
          <w:lang w:val="en-US" w:eastAsia="zh-CN"/>
        </w:rPr>
        <w:t>4.2.4</w:t>
      </w:r>
      <w:r>
        <w:rPr>
          <w:rFonts w:hint="eastAsia" w:ascii="仿宋_GB2312" w:hAnsi="仿宋_GB2312" w:eastAsia="仿宋_GB2312" w:cs="仿宋_GB2312"/>
          <w:color w:val="auto"/>
          <w:sz w:val="32"/>
          <w:szCs w:val="32"/>
          <w:highlight w:val="none"/>
        </w:rPr>
        <w:t>法律法规</w:t>
      </w:r>
      <w:r>
        <w:rPr>
          <w:rFonts w:hint="default" w:ascii="仿宋_GB2312" w:hAnsi="仿宋_GB2312" w:eastAsia="仿宋_GB2312" w:cs="仿宋_GB2312"/>
          <w:color w:val="auto"/>
          <w:sz w:val="32"/>
          <w:szCs w:val="32"/>
          <w:highlight w:val="none"/>
        </w:rPr>
        <w:t>、</w:t>
      </w:r>
      <w:r>
        <w:rPr>
          <w:rStyle w:val="12"/>
          <w:rFonts w:hint="eastAsia" w:ascii="仿宋_GB2312" w:hAnsi="仿宋_GB2312" w:eastAsia="仿宋_GB2312" w:cs="仿宋_GB2312"/>
          <w:b w:val="0"/>
          <w:bCs w:val="0"/>
          <w:i w:val="0"/>
          <w:iCs w:val="0"/>
          <w:caps w:val="0"/>
          <w:color w:val="auto"/>
          <w:spacing w:val="0"/>
          <w:sz w:val="32"/>
          <w:szCs w:val="32"/>
          <w:highlight w:val="none"/>
        </w:rPr>
        <w:t>市场规则及零售合同</w:t>
      </w:r>
      <w:r>
        <w:rPr>
          <w:rFonts w:hint="eastAsia" w:ascii="仿宋_GB2312" w:hAnsi="仿宋_GB2312" w:eastAsia="仿宋_GB2312" w:cs="仿宋_GB2312"/>
          <w:color w:val="auto"/>
          <w:sz w:val="32"/>
          <w:szCs w:val="32"/>
          <w:highlight w:val="none"/>
        </w:rPr>
        <w:t>规定的其他权利和义务。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Style w:val="12"/>
          <w:rFonts w:hint="default" w:ascii="仿宋_GB2312" w:hAnsi="仿宋_GB2312" w:eastAsia="仿宋_GB2312" w:cs="仿宋_GB2312"/>
          <w:b/>
          <w:bCs/>
          <w:i w:val="0"/>
          <w:iCs w:val="0"/>
          <w:caps w:val="0"/>
          <w:color w:val="auto"/>
          <w:spacing w:val="0"/>
          <w:sz w:val="32"/>
          <w:szCs w:val="32"/>
          <w:highlight w:val="none"/>
          <w:lang w:val="en-US" w:eastAsia="zh-CN"/>
        </w:rPr>
      </w:pPr>
      <w:r>
        <w:rPr>
          <w:rStyle w:val="12"/>
          <w:rFonts w:hint="default" w:ascii="仿宋_GB2312" w:hAnsi="仿宋_GB2312" w:eastAsia="仿宋_GB2312" w:cs="仿宋_GB2312"/>
          <w:b/>
          <w:bCs/>
          <w:i w:val="0"/>
          <w:iCs w:val="0"/>
          <w:caps w:val="0"/>
          <w:color w:val="auto"/>
          <w:spacing w:val="0"/>
          <w:sz w:val="32"/>
          <w:szCs w:val="32"/>
          <w:highlight w:val="none"/>
          <w:lang w:val="en-US" w:eastAsia="zh-CN"/>
        </w:rPr>
        <w:t>4</w:t>
      </w:r>
      <w:r>
        <w:rPr>
          <w:rStyle w:val="12"/>
          <w:rFonts w:hint="eastAsia" w:ascii="仿宋_GB2312" w:hAnsi="仿宋_GB2312" w:eastAsia="仿宋_GB2312" w:cs="仿宋_GB2312"/>
          <w:b/>
          <w:bCs/>
          <w:i w:val="0"/>
          <w:iCs w:val="0"/>
          <w:caps w:val="0"/>
          <w:color w:val="auto"/>
          <w:spacing w:val="0"/>
          <w:sz w:val="32"/>
          <w:szCs w:val="32"/>
          <w:highlight w:val="none"/>
          <w:lang w:val="en-US" w:eastAsia="zh-CN"/>
        </w:rPr>
        <w:t>.3.</w:t>
      </w:r>
      <w:r>
        <w:rPr>
          <w:rStyle w:val="12"/>
          <w:rFonts w:hint="default" w:ascii="仿宋_GB2312" w:hAnsi="仿宋_GB2312" w:eastAsia="仿宋_GB2312" w:cs="仿宋_GB2312"/>
          <w:b/>
          <w:bCs/>
          <w:i w:val="0"/>
          <w:iCs w:val="0"/>
          <w:caps w:val="0"/>
          <w:color w:val="auto"/>
          <w:spacing w:val="0"/>
          <w:sz w:val="32"/>
          <w:szCs w:val="32"/>
          <w:highlight w:val="none"/>
          <w:lang w:val="en-US" w:eastAsia="zh-CN"/>
        </w:rPr>
        <w:t>电力</w:t>
      </w:r>
      <w:r>
        <w:rPr>
          <w:rStyle w:val="12"/>
          <w:rFonts w:hint="eastAsia" w:ascii="仿宋_GB2312" w:hAnsi="仿宋_GB2312" w:eastAsia="仿宋_GB2312" w:cs="仿宋_GB2312"/>
          <w:b/>
          <w:bCs/>
          <w:i w:val="0"/>
          <w:iCs w:val="0"/>
          <w:caps w:val="0"/>
          <w:color w:val="auto"/>
          <w:spacing w:val="0"/>
          <w:sz w:val="32"/>
          <w:szCs w:val="32"/>
          <w:highlight w:val="none"/>
          <w:lang w:val="en-US" w:eastAsia="zh-CN"/>
        </w:rPr>
        <w:t>交易中心的权利与义务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Style w:val="12"/>
          <w:rFonts w:hint="eastAsia" w:ascii="仿宋_GB2312" w:hAnsi="仿宋_GB2312" w:eastAsia="仿宋_GB2312" w:cs="仿宋_GB2312"/>
          <w:b w:val="0"/>
          <w:bCs w:val="0"/>
          <w:i w:val="0"/>
          <w:iCs w:val="0"/>
          <w:caps w:val="0"/>
          <w:color w:val="auto"/>
          <w:spacing w:val="0"/>
          <w:sz w:val="32"/>
          <w:szCs w:val="32"/>
          <w:highlight w:val="none"/>
        </w:rPr>
      </w:pPr>
      <w:r>
        <w:rPr>
          <w:rStyle w:val="12"/>
          <w:rFonts w:hint="default" w:ascii="仿宋_GB2312" w:hAnsi="仿宋_GB2312" w:eastAsia="仿宋_GB2312" w:cs="仿宋_GB2312"/>
          <w:b w:val="0"/>
          <w:bCs w:val="0"/>
          <w:i w:val="0"/>
          <w:iCs w:val="0"/>
          <w:caps w:val="0"/>
          <w:color w:val="auto"/>
          <w:spacing w:val="0"/>
          <w:sz w:val="32"/>
          <w:szCs w:val="32"/>
          <w:highlight w:val="none"/>
        </w:rPr>
        <w:t>4</w:t>
      </w:r>
      <w:r>
        <w:rPr>
          <w:rStyle w:val="12"/>
          <w:rFonts w:hint="eastAsia" w:ascii="仿宋_GB2312" w:hAnsi="仿宋_GB2312" w:eastAsia="仿宋_GB2312" w:cs="仿宋_GB2312"/>
          <w:b w:val="0"/>
          <w:bCs w:val="0"/>
          <w:i w:val="0"/>
          <w:iCs w:val="0"/>
          <w:caps w:val="0"/>
          <w:color w:val="auto"/>
          <w:spacing w:val="0"/>
          <w:sz w:val="32"/>
          <w:szCs w:val="32"/>
          <w:highlight w:val="none"/>
        </w:rPr>
        <w:t>.3.1负责交易</w:t>
      </w:r>
      <w:r>
        <w:rPr>
          <w:rStyle w:val="12"/>
          <w:rFonts w:hint="default" w:ascii="仿宋_GB2312" w:hAnsi="仿宋_GB2312" w:eastAsia="仿宋_GB2312" w:cs="仿宋_GB2312"/>
          <w:b w:val="0"/>
          <w:bCs w:val="0"/>
          <w:i w:val="0"/>
          <w:iCs w:val="0"/>
          <w:caps w:val="0"/>
          <w:color w:val="auto"/>
          <w:spacing w:val="0"/>
          <w:sz w:val="32"/>
          <w:szCs w:val="32"/>
          <w:highlight w:val="none"/>
        </w:rPr>
        <w:t>平台</w:t>
      </w:r>
      <w:r>
        <w:rPr>
          <w:rStyle w:val="12"/>
          <w:rFonts w:hint="eastAsia" w:ascii="仿宋_GB2312" w:hAnsi="仿宋_GB2312" w:eastAsia="仿宋_GB2312" w:cs="仿宋_GB2312"/>
          <w:b w:val="0"/>
          <w:bCs w:val="0"/>
          <w:i w:val="0"/>
          <w:iCs w:val="0"/>
          <w:caps w:val="0"/>
          <w:color w:val="auto"/>
          <w:spacing w:val="0"/>
          <w:sz w:val="32"/>
          <w:szCs w:val="32"/>
          <w:highlight w:val="none"/>
        </w:rPr>
        <w:t>的建设、运营和维护。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Style w:val="12"/>
          <w:rFonts w:hint="eastAsia" w:ascii="仿宋_GB2312" w:hAnsi="仿宋_GB2312" w:eastAsia="仿宋_GB2312" w:cs="仿宋_GB2312"/>
          <w:b w:val="0"/>
          <w:bCs w:val="0"/>
          <w:i w:val="0"/>
          <w:iCs w:val="0"/>
          <w:caps w:val="0"/>
          <w:color w:val="auto"/>
          <w:spacing w:val="0"/>
          <w:sz w:val="32"/>
          <w:szCs w:val="32"/>
          <w:highlight w:val="none"/>
        </w:rPr>
      </w:pPr>
      <w:r>
        <w:rPr>
          <w:rStyle w:val="12"/>
          <w:rFonts w:hint="default" w:ascii="仿宋_GB2312" w:hAnsi="仿宋_GB2312" w:eastAsia="仿宋_GB2312" w:cs="仿宋_GB2312"/>
          <w:b w:val="0"/>
          <w:bCs w:val="0"/>
          <w:i w:val="0"/>
          <w:iCs w:val="0"/>
          <w:caps w:val="0"/>
          <w:color w:val="auto"/>
          <w:spacing w:val="0"/>
          <w:sz w:val="32"/>
          <w:szCs w:val="32"/>
          <w:highlight w:val="none"/>
        </w:rPr>
        <w:t>4</w:t>
      </w:r>
      <w:r>
        <w:rPr>
          <w:rStyle w:val="12"/>
          <w:rFonts w:hint="eastAsia" w:ascii="仿宋_GB2312" w:hAnsi="仿宋_GB2312" w:eastAsia="仿宋_GB2312" w:cs="仿宋_GB2312"/>
          <w:b w:val="0"/>
          <w:bCs w:val="0"/>
          <w:i w:val="0"/>
          <w:iCs w:val="0"/>
          <w:caps w:val="0"/>
          <w:color w:val="auto"/>
          <w:spacing w:val="0"/>
          <w:sz w:val="32"/>
          <w:szCs w:val="32"/>
          <w:highlight w:val="none"/>
        </w:rPr>
        <w:t>.3.2负责编制零售合同范本，组织零售交易。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Style w:val="12"/>
          <w:rFonts w:hint="default" w:ascii="仿宋_GB2312" w:hAnsi="仿宋_GB2312" w:eastAsia="仿宋_GB2312" w:cs="仿宋_GB2312"/>
          <w:b w:val="0"/>
          <w:bCs w:val="0"/>
          <w:i w:val="0"/>
          <w:iCs w:val="0"/>
          <w:caps w:val="0"/>
          <w:color w:val="auto"/>
          <w:spacing w:val="0"/>
          <w:sz w:val="32"/>
          <w:szCs w:val="32"/>
          <w:highlight w:val="none"/>
        </w:rPr>
        <w:t>4</w:t>
      </w:r>
      <w:r>
        <w:rPr>
          <w:rStyle w:val="12"/>
          <w:rFonts w:hint="eastAsia" w:ascii="仿宋_GB2312" w:hAnsi="仿宋_GB2312" w:eastAsia="仿宋_GB2312" w:cs="仿宋_GB2312"/>
          <w:b w:val="0"/>
          <w:bCs w:val="0"/>
          <w:i w:val="0"/>
          <w:iCs w:val="0"/>
          <w:caps w:val="0"/>
          <w:color w:val="auto"/>
          <w:spacing w:val="0"/>
          <w:sz w:val="32"/>
          <w:szCs w:val="32"/>
          <w:highlight w:val="none"/>
        </w:rPr>
        <w:t>.3.3</w:t>
      </w:r>
      <w:r>
        <w:rPr>
          <w:rFonts w:hint="eastAsia" w:ascii="仿宋_GB2312" w:hAnsi="仿宋_GB2312" w:eastAsia="仿宋_GB2312" w:cs="仿宋_GB2312"/>
          <w:color w:val="auto"/>
          <w:sz w:val="32"/>
          <w:szCs w:val="32"/>
          <w:highlight w:val="none"/>
        </w:rPr>
        <w:t>负责市场主体注册管理，管理</w:t>
      </w:r>
      <w:r>
        <w:rPr>
          <w:rFonts w:hint="eastAsia" w:ascii="仿宋_GB2312" w:hAnsi="仿宋_GB2312" w:eastAsia="仿宋_GB2312" w:cs="仿宋_GB2312"/>
          <w:color w:val="auto"/>
          <w:sz w:val="32"/>
          <w:szCs w:val="32"/>
          <w:highlight w:val="none"/>
          <w:lang w:val="en-US" w:eastAsia="zh-CN"/>
        </w:rPr>
        <w:t>交易平台</w:t>
      </w:r>
      <w:r>
        <w:rPr>
          <w:rFonts w:hint="eastAsia" w:ascii="仿宋_GB2312" w:hAnsi="仿宋_GB2312" w:eastAsia="仿宋_GB2312" w:cs="仿宋_GB2312"/>
          <w:color w:val="auto"/>
          <w:sz w:val="32"/>
          <w:szCs w:val="32"/>
          <w:highlight w:val="none"/>
        </w:rPr>
        <w:t>使用账户，管理成员注册信息和档案资料。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4.3.4</w:t>
      </w:r>
      <w:r>
        <w:rPr>
          <w:rFonts w:hint="eastAsia" w:ascii="仿宋_GB2312" w:hAnsi="仿宋_GB2312" w:eastAsia="仿宋_GB2312" w:cs="仿宋_GB2312"/>
          <w:color w:val="auto"/>
          <w:sz w:val="32"/>
          <w:szCs w:val="32"/>
          <w:highlight w:val="none"/>
        </w:rPr>
        <w:t>监测和分析市场运行情况</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配合对</w:t>
      </w:r>
      <w:r>
        <w:rPr>
          <w:rFonts w:hint="eastAsia" w:ascii="仿宋_GB2312" w:hAnsi="仿宋_GB2312" w:eastAsia="仿宋_GB2312" w:cs="仿宋_GB2312"/>
          <w:color w:val="auto"/>
          <w:sz w:val="32"/>
          <w:szCs w:val="32"/>
          <w:highlight w:val="none"/>
          <w:lang w:val="en-US" w:eastAsia="zh-CN"/>
        </w:rPr>
        <w:t>各类配套实施细则</w:t>
      </w:r>
      <w:r>
        <w:rPr>
          <w:rFonts w:hint="eastAsia" w:ascii="仿宋_GB2312" w:hAnsi="仿宋_GB2312" w:eastAsia="仿宋_GB2312" w:cs="仿宋_GB2312"/>
          <w:color w:val="auto"/>
          <w:sz w:val="32"/>
          <w:szCs w:val="32"/>
          <w:highlight w:val="none"/>
        </w:rPr>
        <w:t>进行分析评估，提出修改建议。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lang w:eastAsia="zh-CN"/>
        </w:rPr>
        <w:t>4</w:t>
      </w:r>
      <w:r>
        <w:rPr>
          <w:rFonts w:hint="eastAsia" w:ascii="仿宋_GB2312" w:hAnsi="仿宋_GB2312" w:eastAsia="仿宋_GB2312" w:cs="仿宋_GB2312"/>
          <w:color w:val="auto"/>
          <w:sz w:val="32"/>
          <w:szCs w:val="32"/>
          <w:highlight w:val="none"/>
          <w:lang w:val="en-US" w:eastAsia="zh-CN"/>
        </w:rPr>
        <w:t>.3.</w:t>
      </w:r>
      <w:r>
        <w:rPr>
          <w:rFonts w:hint="default" w:ascii="仿宋_GB2312" w:hAnsi="仿宋_GB2312" w:eastAsia="仿宋_GB2312" w:cs="仿宋_GB2312"/>
          <w:color w:val="auto"/>
          <w:sz w:val="32"/>
          <w:szCs w:val="32"/>
          <w:highlight w:val="none"/>
          <w:lang w:eastAsia="zh-CN"/>
        </w:rPr>
        <w:t>5</w:t>
      </w:r>
      <w:r>
        <w:rPr>
          <w:rFonts w:hint="eastAsia" w:ascii="仿宋_GB2312" w:hAnsi="仿宋_GB2312" w:eastAsia="仿宋_GB2312" w:cs="仿宋_GB2312"/>
          <w:color w:val="auto"/>
          <w:sz w:val="32"/>
          <w:szCs w:val="32"/>
          <w:highlight w:val="none"/>
        </w:rPr>
        <w:t>经授权开展市场主体信用评价，维护市场秩序。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lang w:eastAsia="zh-CN"/>
        </w:rPr>
        <w:t>4</w:t>
      </w:r>
      <w:r>
        <w:rPr>
          <w:rFonts w:hint="eastAsia" w:ascii="仿宋_GB2312" w:hAnsi="仿宋_GB2312" w:eastAsia="仿宋_GB2312" w:cs="仿宋_GB2312"/>
          <w:color w:val="auto"/>
          <w:sz w:val="32"/>
          <w:szCs w:val="32"/>
          <w:highlight w:val="none"/>
          <w:lang w:val="en-US" w:eastAsia="zh-CN"/>
        </w:rPr>
        <w:t>.3.</w:t>
      </w:r>
      <w:r>
        <w:rPr>
          <w:rFonts w:hint="default" w:ascii="仿宋_GB2312" w:hAnsi="仿宋_GB2312" w:eastAsia="仿宋_GB2312" w:cs="仿宋_GB2312"/>
          <w:color w:val="auto"/>
          <w:sz w:val="32"/>
          <w:szCs w:val="32"/>
          <w:highlight w:val="none"/>
          <w:lang w:eastAsia="zh-CN"/>
        </w:rPr>
        <w:t>6</w:t>
      </w:r>
      <w:r>
        <w:rPr>
          <w:rFonts w:hint="eastAsia" w:ascii="仿宋_GB2312" w:hAnsi="仿宋_GB2312" w:eastAsia="仿宋_GB2312" w:cs="仿宋_GB2312"/>
          <w:color w:val="auto"/>
          <w:sz w:val="32"/>
          <w:szCs w:val="32"/>
          <w:highlight w:val="none"/>
        </w:rPr>
        <w:t>按规定披露和发布信息。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eastAsia="zh-CN"/>
        </w:rPr>
        <w:t>4</w:t>
      </w:r>
      <w:r>
        <w:rPr>
          <w:rFonts w:hint="eastAsia" w:ascii="仿宋_GB2312" w:hAnsi="仿宋_GB2312" w:eastAsia="仿宋_GB2312" w:cs="仿宋_GB2312"/>
          <w:color w:val="auto"/>
          <w:sz w:val="32"/>
          <w:szCs w:val="32"/>
          <w:highlight w:val="none"/>
          <w:lang w:val="en-US" w:eastAsia="zh-CN"/>
        </w:rPr>
        <w:t>.3.</w:t>
      </w:r>
      <w:r>
        <w:rPr>
          <w:rFonts w:hint="default" w:ascii="仿宋_GB2312" w:hAnsi="仿宋_GB2312" w:eastAsia="仿宋_GB2312" w:cs="仿宋_GB2312"/>
          <w:color w:val="auto"/>
          <w:sz w:val="32"/>
          <w:szCs w:val="32"/>
          <w:highlight w:val="none"/>
          <w:lang w:eastAsia="zh-CN"/>
        </w:rPr>
        <w:t>7</w:t>
      </w:r>
      <w:r>
        <w:rPr>
          <w:rFonts w:hint="default" w:ascii="仿宋_GB2312" w:hAnsi="仿宋_GB2312" w:eastAsia="仿宋_GB2312" w:cs="仿宋_GB2312"/>
          <w:color w:val="auto"/>
          <w:sz w:val="32"/>
          <w:szCs w:val="32"/>
          <w:highlight w:val="none"/>
        </w:rPr>
        <w:t>负责出具售电公司、零售用户交易结算依据</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4.3.8</w:t>
      </w:r>
      <w:r>
        <w:rPr>
          <w:rFonts w:hint="eastAsia" w:ascii="仿宋_GB2312" w:hAnsi="仿宋_GB2312" w:eastAsia="仿宋_GB2312" w:cs="仿宋_GB2312"/>
          <w:color w:val="auto"/>
          <w:sz w:val="32"/>
          <w:szCs w:val="32"/>
          <w:highlight w:val="none"/>
        </w:rPr>
        <w:t>法律法规规定的其他权利和义务。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Style w:val="12"/>
          <w:rFonts w:hint="eastAsia" w:ascii="黑体" w:hAnsi="黑体" w:eastAsia="黑体" w:cs="黑体"/>
          <w:b w:val="0"/>
          <w:bCs w:val="0"/>
          <w:i w:val="0"/>
          <w:iCs w:val="0"/>
          <w:caps w:val="0"/>
          <w:color w:val="auto"/>
          <w:spacing w:val="0"/>
          <w:sz w:val="32"/>
          <w:szCs w:val="32"/>
          <w:highlight w:val="none"/>
          <w:lang w:val="en-US" w:eastAsia="zh-CN"/>
        </w:rPr>
      </w:pPr>
      <w:r>
        <w:rPr>
          <w:rStyle w:val="12"/>
          <w:rFonts w:hint="eastAsia" w:ascii="黑体" w:hAnsi="黑体" w:eastAsia="黑体" w:cs="黑体"/>
          <w:b w:val="0"/>
          <w:bCs w:val="0"/>
          <w:i w:val="0"/>
          <w:iCs w:val="0"/>
          <w:caps w:val="0"/>
          <w:color w:val="auto"/>
          <w:spacing w:val="0"/>
          <w:sz w:val="32"/>
          <w:szCs w:val="32"/>
          <w:highlight w:val="none"/>
          <w:lang w:val="en-US" w:eastAsia="zh-CN"/>
        </w:rPr>
        <w:t>5.零售套餐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eastAsia="zh-CN"/>
        </w:rPr>
        <w:t>.1</w:t>
      </w:r>
      <w:r>
        <w:rPr>
          <w:rFonts w:hint="eastAsia" w:ascii="仿宋_GB2312" w:hAnsi="仿宋_GB2312" w:eastAsia="仿宋_GB2312" w:cs="仿宋_GB2312"/>
          <w:color w:val="auto"/>
          <w:sz w:val="32"/>
          <w:szCs w:val="32"/>
          <w:highlight w:val="none"/>
          <w:lang w:val="en-US" w:eastAsia="zh-CN"/>
        </w:rPr>
        <w:t>零售套餐设计</w:t>
      </w:r>
      <w:r>
        <w:rPr>
          <w:rFonts w:hint="eastAsia" w:ascii="仿宋_GB2312" w:hAnsi="仿宋_GB2312" w:eastAsia="仿宋_GB2312" w:cs="仿宋_GB2312"/>
          <w:color w:val="auto"/>
          <w:sz w:val="32"/>
          <w:szCs w:val="32"/>
          <w:highlight w:val="none"/>
        </w:rPr>
        <w:t>遵循“公平合理、风险可控、清晰易懂、动态评估”的主要原则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零售</w:t>
      </w:r>
      <w:r>
        <w:rPr>
          <w:rFonts w:hint="eastAsia" w:ascii="仿宋_GB2312" w:hAnsi="仿宋_GB2312" w:eastAsia="仿宋_GB2312" w:cs="仿宋_GB2312"/>
          <w:color w:val="auto"/>
          <w:sz w:val="32"/>
          <w:szCs w:val="32"/>
          <w:highlight w:val="none"/>
        </w:rPr>
        <w:t>套餐</w:t>
      </w:r>
      <w:r>
        <w:rPr>
          <w:rFonts w:hint="eastAsia" w:ascii="仿宋_GB2312" w:hAnsi="仿宋_GB2312" w:eastAsia="仿宋_GB2312" w:cs="仿宋_GB2312"/>
          <w:color w:val="auto"/>
          <w:sz w:val="32"/>
          <w:szCs w:val="32"/>
          <w:highlight w:val="none"/>
          <w:lang w:val="en-US" w:eastAsia="zh-CN"/>
        </w:rPr>
        <w:t>内容</w:t>
      </w:r>
      <w:r>
        <w:rPr>
          <w:rFonts w:hint="eastAsia" w:ascii="仿宋_GB2312" w:hAnsi="仿宋_GB2312" w:eastAsia="仿宋_GB2312" w:cs="仿宋_GB2312"/>
          <w:color w:val="auto"/>
          <w:sz w:val="32"/>
          <w:szCs w:val="32"/>
          <w:highlight w:val="none"/>
        </w:rPr>
        <w:t>至少包含</w:t>
      </w:r>
      <w:r>
        <w:rPr>
          <w:rFonts w:hint="eastAsia" w:ascii="仿宋_GB2312" w:hAnsi="仿宋_GB2312" w:eastAsia="仿宋_GB2312" w:cs="仿宋_GB2312"/>
          <w:color w:val="auto"/>
          <w:sz w:val="32"/>
          <w:szCs w:val="32"/>
          <w:highlight w:val="none"/>
          <w:lang w:val="en-US" w:eastAsia="zh-CN"/>
        </w:rPr>
        <w:t>结算模式、</w:t>
      </w:r>
      <w:r>
        <w:rPr>
          <w:rFonts w:hint="eastAsia" w:ascii="仿宋_GB2312" w:hAnsi="仿宋_GB2312" w:eastAsia="仿宋_GB2312" w:cs="仿宋_GB2312"/>
          <w:color w:val="auto"/>
          <w:sz w:val="32"/>
          <w:szCs w:val="32"/>
          <w:highlight w:val="none"/>
        </w:rPr>
        <w:t>合约电量、合约电价、合约时间等关键信息，形成</w:t>
      </w:r>
      <w:r>
        <w:rPr>
          <w:rFonts w:hint="eastAsia" w:ascii="仿宋_GB2312" w:hAnsi="仿宋_GB2312" w:eastAsia="仿宋_GB2312" w:cs="仿宋_GB2312"/>
          <w:color w:val="auto"/>
          <w:sz w:val="32"/>
          <w:szCs w:val="32"/>
          <w:highlight w:val="none"/>
          <w:lang w:val="en-US" w:eastAsia="zh-CN"/>
        </w:rPr>
        <w:t>交易平台</w:t>
      </w:r>
      <w:r>
        <w:rPr>
          <w:rFonts w:hint="eastAsia" w:ascii="仿宋_GB2312" w:hAnsi="仿宋_GB2312" w:eastAsia="仿宋_GB2312" w:cs="仿宋_GB2312"/>
          <w:color w:val="auto"/>
          <w:sz w:val="32"/>
          <w:szCs w:val="32"/>
          <w:highlight w:val="none"/>
        </w:rPr>
        <w:t>可固化的电费计算模型。</w:t>
      </w:r>
      <w:r>
        <w:rPr>
          <w:rFonts w:hint="eastAsia" w:ascii="仿宋_GB2312" w:hAnsi="仿宋_GB2312" w:eastAsia="仿宋_GB2312" w:cs="仿宋_GB2312"/>
          <w:color w:val="auto"/>
          <w:sz w:val="32"/>
          <w:szCs w:val="32"/>
          <w:highlight w:val="none"/>
          <w:lang w:val="en-US" w:eastAsia="zh-CN"/>
        </w:rPr>
        <w:t>现阶段，海南零售市场暂定</w:t>
      </w:r>
      <w:r>
        <w:rPr>
          <w:rFonts w:hint="eastAsia" w:ascii="仿宋_GB2312" w:hAnsi="仿宋_GB2312" w:eastAsia="仿宋_GB2312" w:cs="仿宋_GB2312"/>
          <w:color w:val="auto"/>
          <w:sz w:val="32"/>
          <w:szCs w:val="32"/>
          <w:highlight w:val="none"/>
        </w:rPr>
        <w:t>以下四种</w:t>
      </w:r>
      <w:r>
        <w:rPr>
          <w:rFonts w:hint="eastAsia" w:ascii="仿宋_GB2312" w:hAnsi="仿宋_GB2312" w:eastAsia="仿宋_GB2312" w:cs="仿宋_GB2312"/>
          <w:color w:val="auto"/>
          <w:sz w:val="32"/>
          <w:szCs w:val="32"/>
          <w:highlight w:val="none"/>
          <w:lang w:val="en-US" w:eastAsia="zh-CN"/>
        </w:rPr>
        <w:t>零售套餐以及附加绿色电力交易参数供市场主体选择</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5.1.1</w:t>
      </w:r>
      <w:r>
        <w:rPr>
          <w:rFonts w:hint="eastAsia" w:ascii="仿宋_GB2312" w:hAnsi="仿宋_GB2312" w:eastAsia="仿宋_GB2312" w:cs="仿宋_GB2312"/>
          <w:color w:val="auto"/>
          <w:sz w:val="32"/>
          <w:szCs w:val="32"/>
          <w:highlight w:val="none"/>
        </w:rPr>
        <w:t>固定价格</w:t>
      </w:r>
      <w:r>
        <w:rPr>
          <w:rFonts w:hint="eastAsia" w:ascii="仿宋_GB2312" w:hAnsi="仿宋_GB2312" w:eastAsia="仿宋_GB2312" w:cs="仿宋_GB2312"/>
          <w:color w:val="auto"/>
          <w:sz w:val="32"/>
          <w:szCs w:val="32"/>
          <w:highlight w:val="none"/>
          <w:lang w:val="en-US" w:eastAsia="zh-CN"/>
        </w:rPr>
        <w:t>套餐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指零售用户名下</w:t>
      </w:r>
      <w:r>
        <w:rPr>
          <w:rFonts w:hint="eastAsia" w:ascii="仿宋_GB2312" w:hAnsi="仿宋_GB2312" w:eastAsia="仿宋_GB2312" w:cs="仿宋_GB2312"/>
          <w:color w:val="auto"/>
          <w:sz w:val="32"/>
          <w:szCs w:val="32"/>
          <w:highlight w:val="none"/>
        </w:rPr>
        <w:t>各工商业计量点</w:t>
      </w:r>
      <w:r>
        <w:rPr>
          <w:rFonts w:hint="eastAsia" w:ascii="仿宋_GB2312" w:hAnsi="仿宋_GB2312" w:eastAsia="仿宋_GB2312" w:cs="仿宋_GB2312"/>
          <w:color w:val="auto"/>
          <w:sz w:val="32"/>
          <w:szCs w:val="32"/>
          <w:highlight w:val="none"/>
          <w:lang w:val="en-US" w:eastAsia="zh-CN"/>
        </w:rPr>
        <w:t>实际总</w:t>
      </w:r>
      <w:r>
        <w:rPr>
          <w:rFonts w:hint="eastAsia" w:ascii="仿宋_GB2312" w:hAnsi="仿宋_GB2312" w:eastAsia="仿宋_GB2312" w:cs="仿宋_GB2312"/>
          <w:color w:val="auto"/>
          <w:sz w:val="32"/>
          <w:szCs w:val="32"/>
          <w:highlight w:val="none"/>
        </w:rPr>
        <w:t>用电量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以下简称“零售用户</w:t>
      </w:r>
      <w:r>
        <w:rPr>
          <w:rFonts w:hint="eastAsia" w:ascii="仿宋_GB2312" w:hAnsi="仿宋_GB2312" w:eastAsia="仿宋_GB2312" w:cs="仿宋_GB2312"/>
          <w:color w:val="auto"/>
          <w:sz w:val="32"/>
          <w:szCs w:val="32"/>
          <w:highlight w:val="none"/>
        </w:rPr>
        <w:t>实际</w:t>
      </w:r>
      <w:r>
        <w:rPr>
          <w:rFonts w:hint="eastAsia" w:ascii="仿宋_GB2312" w:hAnsi="仿宋_GB2312" w:eastAsia="仿宋_GB2312" w:cs="仿宋_GB2312"/>
          <w:color w:val="auto"/>
          <w:sz w:val="32"/>
          <w:szCs w:val="32"/>
          <w:highlight w:val="none"/>
          <w:lang w:val="en-US" w:eastAsia="zh-CN"/>
        </w:rPr>
        <w:t>总</w:t>
      </w:r>
      <w:r>
        <w:rPr>
          <w:rFonts w:hint="eastAsia" w:ascii="仿宋_GB2312" w:hAnsi="仿宋_GB2312" w:eastAsia="仿宋_GB2312" w:cs="仿宋_GB2312"/>
          <w:color w:val="auto"/>
          <w:sz w:val="32"/>
          <w:szCs w:val="32"/>
          <w:highlight w:val="none"/>
        </w:rPr>
        <w:t>用电量</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按照</w:t>
      </w:r>
      <w:r>
        <w:rPr>
          <w:rFonts w:hint="eastAsia" w:ascii="仿宋_GB2312" w:hAnsi="仿宋_GB2312" w:eastAsia="仿宋_GB2312" w:cs="仿宋_GB2312"/>
          <w:color w:val="auto"/>
          <w:sz w:val="32"/>
          <w:szCs w:val="32"/>
          <w:highlight w:val="none"/>
          <w:lang w:val="en-US" w:eastAsia="zh-CN"/>
        </w:rPr>
        <w:t>双方约定的</w:t>
      </w:r>
      <w:r>
        <w:rPr>
          <w:rFonts w:hint="eastAsia" w:ascii="仿宋_GB2312" w:hAnsi="仿宋_GB2312" w:eastAsia="仿宋_GB2312" w:cs="仿宋_GB2312"/>
          <w:color w:val="auto"/>
          <w:sz w:val="32"/>
          <w:szCs w:val="32"/>
          <w:highlight w:val="none"/>
        </w:rPr>
        <w:t>固定价格</w:t>
      </w:r>
      <w:r>
        <w:rPr>
          <w:rFonts w:hint="eastAsia" w:ascii="仿宋_GB2312" w:hAnsi="仿宋_GB2312" w:eastAsia="仿宋_GB2312" w:cs="仿宋_GB2312"/>
          <w:color w:val="auto"/>
          <w:sz w:val="32"/>
          <w:szCs w:val="32"/>
          <w:highlight w:val="none"/>
          <w:lang w:val="en-US" w:eastAsia="zh-CN"/>
        </w:rPr>
        <w:t>开展</w:t>
      </w:r>
      <w:r>
        <w:rPr>
          <w:rFonts w:hint="eastAsia" w:ascii="仿宋_GB2312" w:hAnsi="仿宋_GB2312" w:eastAsia="仿宋_GB2312" w:cs="仿宋_GB2312"/>
          <w:color w:val="auto"/>
          <w:sz w:val="32"/>
          <w:szCs w:val="32"/>
          <w:highlight w:val="none"/>
        </w:rPr>
        <w:t>电费结算。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5.1.2</w:t>
      </w:r>
      <w:r>
        <w:rPr>
          <w:rFonts w:hint="eastAsia" w:ascii="仿宋_GB2312" w:hAnsi="仿宋_GB2312" w:eastAsia="仿宋_GB2312" w:cs="仿宋_GB2312"/>
          <w:color w:val="auto"/>
          <w:sz w:val="32"/>
          <w:szCs w:val="32"/>
          <w:highlight w:val="none"/>
        </w:rPr>
        <w:t>固定价格+市场联动</w:t>
      </w:r>
      <w:r>
        <w:rPr>
          <w:rFonts w:hint="eastAsia" w:ascii="仿宋_GB2312" w:hAnsi="仿宋_GB2312" w:eastAsia="仿宋_GB2312" w:cs="仿宋_GB2312"/>
          <w:color w:val="auto"/>
          <w:sz w:val="32"/>
          <w:szCs w:val="32"/>
          <w:highlight w:val="none"/>
          <w:lang w:val="en-US" w:eastAsia="zh-CN"/>
        </w:rPr>
        <w:t>套餐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指零售用户</w:t>
      </w:r>
      <w:r>
        <w:rPr>
          <w:rFonts w:hint="eastAsia" w:ascii="仿宋_GB2312" w:hAnsi="仿宋_GB2312" w:eastAsia="仿宋_GB2312" w:cs="仿宋_GB2312"/>
          <w:color w:val="auto"/>
          <w:sz w:val="32"/>
          <w:szCs w:val="32"/>
          <w:highlight w:val="none"/>
        </w:rPr>
        <w:t>实际</w:t>
      </w:r>
      <w:r>
        <w:rPr>
          <w:rFonts w:hint="eastAsia" w:ascii="仿宋_GB2312" w:hAnsi="仿宋_GB2312" w:eastAsia="仿宋_GB2312" w:cs="仿宋_GB2312"/>
          <w:color w:val="auto"/>
          <w:sz w:val="32"/>
          <w:szCs w:val="32"/>
          <w:highlight w:val="none"/>
          <w:lang w:val="en-US" w:eastAsia="zh-CN"/>
        </w:rPr>
        <w:t>总</w:t>
      </w:r>
      <w:r>
        <w:rPr>
          <w:rFonts w:hint="eastAsia" w:ascii="仿宋_GB2312" w:hAnsi="仿宋_GB2312" w:eastAsia="仿宋_GB2312" w:cs="仿宋_GB2312"/>
          <w:color w:val="auto"/>
          <w:sz w:val="32"/>
          <w:szCs w:val="32"/>
          <w:highlight w:val="none"/>
        </w:rPr>
        <w:t>用电量按照</w:t>
      </w:r>
      <w:r>
        <w:rPr>
          <w:rFonts w:hint="eastAsia" w:ascii="仿宋_GB2312" w:hAnsi="仿宋_GB2312" w:eastAsia="仿宋_GB2312" w:cs="仿宋_GB2312"/>
          <w:color w:val="auto"/>
          <w:sz w:val="32"/>
          <w:szCs w:val="32"/>
          <w:highlight w:val="none"/>
          <w:lang w:val="en-US" w:eastAsia="zh-CN"/>
        </w:rPr>
        <w:t>双方约定的一定比例分割后，选择对应的</w:t>
      </w:r>
      <w:r>
        <w:rPr>
          <w:rFonts w:hint="eastAsia" w:ascii="仿宋_GB2312" w:hAnsi="仿宋_GB2312" w:eastAsia="仿宋_GB2312" w:cs="仿宋_GB2312"/>
          <w:color w:val="auto"/>
          <w:sz w:val="32"/>
          <w:szCs w:val="32"/>
          <w:highlight w:val="none"/>
        </w:rPr>
        <w:t>固定价格</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市场联动价格</w:t>
      </w:r>
      <w:r>
        <w:rPr>
          <w:rFonts w:hint="eastAsia" w:ascii="仿宋_GB2312" w:hAnsi="仿宋_GB2312" w:eastAsia="仿宋_GB2312" w:cs="仿宋_GB2312"/>
          <w:color w:val="auto"/>
          <w:sz w:val="32"/>
          <w:szCs w:val="32"/>
          <w:highlight w:val="none"/>
          <w:lang w:val="en-US" w:eastAsia="zh-CN"/>
        </w:rPr>
        <w:t>分别开展</w:t>
      </w:r>
      <w:r>
        <w:rPr>
          <w:rFonts w:hint="eastAsia" w:ascii="仿宋_GB2312" w:hAnsi="仿宋_GB2312" w:eastAsia="仿宋_GB2312" w:cs="仿宋_GB2312"/>
          <w:color w:val="auto"/>
          <w:sz w:val="32"/>
          <w:szCs w:val="32"/>
          <w:highlight w:val="none"/>
        </w:rPr>
        <w:t>结算。</w:t>
      </w:r>
      <w:r>
        <w:rPr>
          <w:rFonts w:hint="eastAsia" w:ascii="仿宋_GB2312" w:hAnsi="仿宋_GB2312" w:eastAsia="仿宋_GB2312" w:cs="仿宋_GB2312"/>
          <w:color w:val="auto"/>
          <w:sz w:val="32"/>
          <w:szCs w:val="32"/>
          <w:highlight w:val="none"/>
          <w:lang w:val="en-US" w:eastAsia="zh-CN"/>
        </w:rPr>
        <w:t>其中，市场联动价格</w:t>
      </w:r>
      <w:r>
        <w:rPr>
          <w:rFonts w:hint="eastAsia" w:ascii="仿宋_GB2312" w:hAnsi="仿宋_GB2312" w:eastAsia="仿宋_GB2312" w:cs="仿宋_GB2312"/>
          <w:color w:val="auto"/>
          <w:sz w:val="32"/>
          <w:szCs w:val="32"/>
          <w:highlight w:val="none"/>
        </w:rPr>
        <w:t>可选项</w:t>
      </w:r>
      <w:r>
        <w:rPr>
          <w:rFonts w:hint="eastAsia" w:ascii="仿宋_GB2312" w:hAnsi="仿宋_GB2312" w:eastAsia="仿宋_GB2312" w:cs="仿宋_GB2312"/>
          <w:color w:val="auto"/>
          <w:sz w:val="32"/>
          <w:szCs w:val="32"/>
          <w:highlight w:val="none"/>
          <w:lang w:val="en-US" w:eastAsia="zh-CN"/>
        </w:rPr>
        <w:t>为</w:t>
      </w:r>
      <w:r>
        <w:rPr>
          <w:rFonts w:hint="eastAsia" w:ascii="仿宋_GB2312" w:hAnsi="仿宋_GB2312" w:eastAsia="仿宋_GB2312" w:cs="仿宋_GB2312"/>
          <w:color w:val="auto"/>
          <w:sz w:val="32"/>
          <w:szCs w:val="32"/>
          <w:highlight w:val="none"/>
        </w:rPr>
        <w:t>（必选项，两种模式分别选择唯一一个对应的联动电价）：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（1）非现货联动电价模式（包含短周期现货结算试运行）：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①直接交易月度集中交易加权平均价；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②直接交易月度加权平均价。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（2）现货联动电价模式（即全月开展现货结算）：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①</w:t>
      </w:r>
      <w:r>
        <w:rPr>
          <w:rFonts w:hint="eastAsia" w:ascii="仿宋_GB2312" w:hAnsi="仿宋_GB2312" w:eastAsia="仿宋_GB2312" w:cs="仿宋_GB2312"/>
          <w:color w:val="auto"/>
          <w:sz w:val="32"/>
          <w:szCs w:val="32"/>
          <w:highlight w:val="none"/>
          <w:lang w:val="en-US" w:eastAsia="zh-CN"/>
        </w:rPr>
        <w:t>实时</w:t>
      </w:r>
      <w:r>
        <w:rPr>
          <w:rFonts w:hint="eastAsia" w:ascii="仿宋_GB2312" w:hAnsi="仿宋_GB2312" w:eastAsia="仿宋_GB2312" w:cs="仿宋_GB2312"/>
          <w:color w:val="auto"/>
          <w:sz w:val="32"/>
          <w:szCs w:val="32"/>
          <w:highlight w:val="none"/>
        </w:rPr>
        <w:t>市场月度加权平均综合价；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②直接交易月度集中交易加权平均价；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③直接交易月度加权平均价。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注：任一模式中选定“直接交易月度集中交易加权平均价”作为市场联动价格的，若当月无该成交价格，则系统自动选择“直接交易月度加权平均价”为当月市场联动价格。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5.1.3</w:t>
      </w:r>
      <w:r>
        <w:rPr>
          <w:rFonts w:hint="eastAsia" w:ascii="仿宋_GB2312" w:hAnsi="仿宋_GB2312" w:eastAsia="仿宋_GB2312" w:cs="仿宋_GB2312"/>
          <w:color w:val="auto"/>
          <w:sz w:val="32"/>
          <w:szCs w:val="32"/>
          <w:highlight w:val="none"/>
        </w:rPr>
        <w:t>比例分成</w:t>
      </w:r>
      <w:r>
        <w:rPr>
          <w:rFonts w:hint="eastAsia" w:ascii="仿宋_GB2312" w:hAnsi="仿宋_GB2312" w:eastAsia="仿宋_GB2312" w:cs="仿宋_GB2312"/>
          <w:color w:val="auto"/>
          <w:sz w:val="32"/>
          <w:szCs w:val="32"/>
          <w:highlight w:val="none"/>
          <w:lang w:val="en-US" w:eastAsia="zh-CN"/>
        </w:rPr>
        <w:t>套餐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指零售用户</w:t>
      </w:r>
      <w:r>
        <w:rPr>
          <w:rFonts w:hint="eastAsia" w:ascii="仿宋_GB2312" w:hAnsi="仿宋_GB2312" w:eastAsia="仿宋_GB2312" w:cs="仿宋_GB2312"/>
          <w:color w:val="auto"/>
          <w:sz w:val="32"/>
          <w:szCs w:val="32"/>
          <w:highlight w:val="none"/>
        </w:rPr>
        <w:t>实际</w:t>
      </w:r>
      <w:r>
        <w:rPr>
          <w:rFonts w:hint="eastAsia" w:ascii="仿宋_GB2312" w:hAnsi="仿宋_GB2312" w:eastAsia="仿宋_GB2312" w:cs="仿宋_GB2312"/>
          <w:color w:val="auto"/>
          <w:sz w:val="32"/>
          <w:szCs w:val="32"/>
          <w:highlight w:val="none"/>
          <w:lang w:val="en-US" w:eastAsia="zh-CN"/>
        </w:rPr>
        <w:t>总</w:t>
      </w:r>
      <w:r>
        <w:rPr>
          <w:rFonts w:hint="eastAsia" w:ascii="仿宋_GB2312" w:hAnsi="仿宋_GB2312" w:eastAsia="仿宋_GB2312" w:cs="仿宋_GB2312"/>
          <w:color w:val="auto"/>
          <w:sz w:val="32"/>
          <w:szCs w:val="32"/>
          <w:highlight w:val="none"/>
        </w:rPr>
        <w:t>用电量</w:t>
      </w:r>
      <w:r>
        <w:rPr>
          <w:rFonts w:hint="eastAsia" w:ascii="仿宋_GB2312" w:hAnsi="仿宋_GB2312" w:eastAsia="仿宋_GB2312" w:cs="仿宋_GB2312"/>
          <w:color w:val="auto"/>
          <w:sz w:val="32"/>
          <w:szCs w:val="32"/>
          <w:highlight w:val="none"/>
          <w:lang w:val="en-US" w:eastAsia="zh-CN"/>
        </w:rPr>
        <w:t>基于双方约定的</w:t>
      </w:r>
      <w:r>
        <w:rPr>
          <w:rFonts w:hint="eastAsia" w:ascii="仿宋_GB2312" w:hAnsi="仿宋_GB2312" w:eastAsia="仿宋_GB2312" w:cs="仿宋_GB2312"/>
          <w:color w:val="auto"/>
          <w:sz w:val="32"/>
          <w:szCs w:val="32"/>
          <w:highlight w:val="none"/>
        </w:rPr>
        <w:t>交易基准价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市场联动价格</w:t>
      </w:r>
      <w:r>
        <w:rPr>
          <w:rFonts w:hint="eastAsia" w:ascii="仿宋_GB2312" w:hAnsi="仿宋_GB2312" w:eastAsia="仿宋_GB2312" w:cs="仿宋_GB2312"/>
          <w:color w:val="auto"/>
          <w:sz w:val="32"/>
          <w:szCs w:val="32"/>
          <w:highlight w:val="none"/>
          <w:lang w:val="en-US" w:eastAsia="zh-CN"/>
        </w:rPr>
        <w:t>及分成比例等参数开展结算，若市场联动价格高或低于交易基准价所产生的差价，按约定比例进行分摊或分享</w:t>
      </w:r>
      <w:r>
        <w:rPr>
          <w:rFonts w:hint="eastAsia" w:ascii="仿宋_GB2312" w:hAnsi="仿宋_GB2312" w:eastAsia="仿宋_GB2312" w:cs="仿宋_GB2312"/>
          <w:color w:val="auto"/>
          <w:sz w:val="32"/>
          <w:szCs w:val="32"/>
          <w:highlight w:val="none"/>
        </w:rPr>
        <w:t>。市场联动价格可选项为（必选项，两种模式分别选择唯一一个对应的联动电价）：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（1）非现货联动电价模式（包含短周期现货结算试运行）：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①直接交易月度集中交易加权平均价；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②直接交易月度加权平均价。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（2）现货联动电价模式（即全月开展现货结算）：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①</w:t>
      </w:r>
      <w:r>
        <w:rPr>
          <w:rFonts w:hint="eastAsia" w:ascii="仿宋_GB2312" w:hAnsi="仿宋_GB2312" w:eastAsia="仿宋_GB2312" w:cs="仿宋_GB2312"/>
          <w:color w:val="auto"/>
          <w:sz w:val="32"/>
          <w:szCs w:val="32"/>
          <w:highlight w:val="none"/>
          <w:lang w:val="en-US" w:eastAsia="zh-CN"/>
        </w:rPr>
        <w:t>实时</w:t>
      </w:r>
      <w:r>
        <w:rPr>
          <w:rFonts w:hint="eastAsia" w:ascii="仿宋_GB2312" w:hAnsi="仿宋_GB2312" w:eastAsia="仿宋_GB2312" w:cs="仿宋_GB2312"/>
          <w:color w:val="auto"/>
          <w:sz w:val="32"/>
          <w:szCs w:val="32"/>
          <w:highlight w:val="none"/>
        </w:rPr>
        <w:t>市场月度加权平均综合价；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②直接交易月度集中交易加权平均价；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③直接交易月度加权平均价。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注：任一模式中选定“直接交易月度集中交易加权平均价”作为市场联动价格的，若当月无该成交价格，则系统自动选择“直接交易月度加权平均价”为当月市场联动价格。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5.1.4</w:t>
      </w:r>
      <w:r>
        <w:rPr>
          <w:rFonts w:hint="eastAsia" w:ascii="仿宋_GB2312" w:hAnsi="仿宋_GB2312" w:eastAsia="仿宋_GB2312" w:cs="仿宋_GB2312"/>
          <w:color w:val="auto"/>
          <w:sz w:val="32"/>
          <w:szCs w:val="32"/>
          <w:highlight w:val="none"/>
        </w:rPr>
        <w:t>固定价格+服务费</w:t>
      </w:r>
      <w:r>
        <w:rPr>
          <w:rFonts w:hint="eastAsia" w:ascii="仿宋_GB2312" w:hAnsi="仿宋_GB2312" w:eastAsia="仿宋_GB2312" w:cs="仿宋_GB2312"/>
          <w:color w:val="auto"/>
          <w:sz w:val="32"/>
          <w:szCs w:val="32"/>
          <w:highlight w:val="none"/>
          <w:lang w:val="en-US" w:eastAsia="zh-CN"/>
        </w:rPr>
        <w:t>套餐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指零售用户</w:t>
      </w:r>
      <w:r>
        <w:rPr>
          <w:rFonts w:hint="eastAsia" w:ascii="仿宋_GB2312" w:hAnsi="仿宋_GB2312" w:eastAsia="仿宋_GB2312" w:cs="仿宋_GB2312"/>
          <w:color w:val="auto"/>
          <w:sz w:val="32"/>
          <w:szCs w:val="32"/>
          <w:highlight w:val="none"/>
        </w:rPr>
        <w:t>实际</w:t>
      </w:r>
      <w:r>
        <w:rPr>
          <w:rFonts w:hint="eastAsia" w:ascii="仿宋_GB2312" w:hAnsi="仿宋_GB2312" w:eastAsia="仿宋_GB2312" w:cs="仿宋_GB2312"/>
          <w:color w:val="auto"/>
          <w:sz w:val="32"/>
          <w:szCs w:val="32"/>
          <w:highlight w:val="none"/>
          <w:lang w:val="en-US" w:eastAsia="zh-CN"/>
        </w:rPr>
        <w:t>总</w:t>
      </w:r>
      <w:r>
        <w:rPr>
          <w:rFonts w:hint="eastAsia" w:ascii="仿宋_GB2312" w:hAnsi="仿宋_GB2312" w:eastAsia="仿宋_GB2312" w:cs="仿宋_GB2312"/>
          <w:color w:val="auto"/>
          <w:sz w:val="32"/>
          <w:szCs w:val="32"/>
          <w:highlight w:val="none"/>
        </w:rPr>
        <w:t>用电量</w:t>
      </w: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z w:val="32"/>
          <w:szCs w:val="32"/>
          <w:highlight w:val="none"/>
        </w:rPr>
        <w:t>约定的固定价格</w:t>
      </w:r>
      <w:r>
        <w:rPr>
          <w:rFonts w:hint="eastAsia" w:ascii="仿宋_GB2312" w:hAnsi="仿宋_GB2312" w:eastAsia="仿宋_GB2312" w:cs="仿宋_GB2312"/>
          <w:color w:val="auto"/>
          <w:sz w:val="32"/>
          <w:szCs w:val="32"/>
          <w:highlight w:val="none"/>
          <w:lang w:val="en-US" w:eastAsia="zh-CN"/>
        </w:rPr>
        <w:t>开展电费结算后</w:t>
      </w:r>
      <w:r>
        <w:rPr>
          <w:rFonts w:hint="eastAsia" w:ascii="仿宋_GB2312" w:hAnsi="仿宋_GB2312" w:eastAsia="仿宋_GB2312" w:cs="仿宋_GB2312"/>
          <w:color w:val="auto"/>
          <w:sz w:val="32"/>
          <w:szCs w:val="32"/>
          <w:highlight w:val="none"/>
        </w:rPr>
        <w:t>，额外</w:t>
      </w:r>
      <w:r>
        <w:rPr>
          <w:rFonts w:hint="eastAsia" w:ascii="仿宋_GB2312" w:hAnsi="仿宋_GB2312" w:eastAsia="仿宋_GB2312" w:cs="仿宋_GB2312"/>
          <w:color w:val="auto"/>
          <w:sz w:val="32"/>
          <w:szCs w:val="32"/>
          <w:highlight w:val="none"/>
          <w:lang w:val="en-US" w:eastAsia="zh-CN"/>
        </w:rPr>
        <w:t>支付售电公司</w:t>
      </w:r>
      <w:r>
        <w:rPr>
          <w:rFonts w:hint="eastAsia" w:ascii="仿宋_GB2312" w:hAnsi="仿宋_GB2312" w:eastAsia="仿宋_GB2312" w:cs="仿宋_GB2312"/>
          <w:color w:val="auto"/>
          <w:sz w:val="32"/>
          <w:szCs w:val="32"/>
          <w:highlight w:val="none"/>
        </w:rPr>
        <w:t>代理交易服务费。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5.1.5绿色电力交易参数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现阶段，零售用户在选定零售套餐后，可根据自身绿色电力交易需求，在签订零售合同时，额外约定分月计划电量中的绿色电力交易电量比例和绿证价格，以此作为委托售电公司为其在批发市场开展绿色电力交易的依据，并支付所产生的绿证价格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5.2视零售市场发展及</w:t>
      </w:r>
      <w:r>
        <w:rPr>
          <w:rFonts w:hint="eastAsia" w:ascii="仿宋_GB2312" w:hAnsi="仿宋_GB2312" w:eastAsia="仿宋_GB2312" w:cs="仿宋_GB2312"/>
          <w:color w:val="auto"/>
          <w:sz w:val="32"/>
          <w:szCs w:val="32"/>
          <w:highlight w:val="none"/>
        </w:rPr>
        <w:t>业务发展需要</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逐步实现</w:t>
      </w:r>
      <w:r>
        <w:rPr>
          <w:rFonts w:hint="eastAsia" w:ascii="仿宋_GB2312" w:hAnsi="仿宋_GB2312" w:eastAsia="仿宋_GB2312" w:cs="仿宋_GB2312"/>
          <w:b w:val="0"/>
          <w:bCs w:val="0"/>
          <w:color w:val="auto"/>
          <w:sz w:val="32"/>
          <w:szCs w:val="32"/>
          <w:highlight w:val="none"/>
          <w:lang w:val="en-US" w:eastAsia="zh-CN"/>
        </w:rPr>
        <w:t>售电公司</w:t>
      </w:r>
      <w:r>
        <w:rPr>
          <w:rStyle w:val="12"/>
          <w:rFonts w:hint="eastAsia" w:ascii="仿宋_GB2312" w:hAnsi="仿宋_GB2312" w:eastAsia="仿宋_GB2312" w:cs="仿宋_GB2312"/>
          <w:b w:val="0"/>
          <w:bCs w:val="0"/>
          <w:i w:val="0"/>
          <w:iCs w:val="0"/>
          <w:caps w:val="0"/>
          <w:color w:val="auto"/>
          <w:spacing w:val="0"/>
          <w:sz w:val="32"/>
          <w:szCs w:val="32"/>
          <w:highlight w:val="none"/>
        </w:rPr>
        <w:t>可在交易</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平台上自主</w:t>
      </w:r>
      <w:r>
        <w:rPr>
          <w:rStyle w:val="12"/>
          <w:rFonts w:hint="eastAsia" w:ascii="仿宋_GB2312" w:hAnsi="仿宋_GB2312" w:eastAsia="仿宋_GB2312" w:cs="仿宋_GB2312"/>
          <w:b w:val="0"/>
          <w:bCs w:val="0"/>
          <w:i w:val="0"/>
          <w:iCs w:val="0"/>
          <w:caps w:val="0"/>
          <w:color w:val="auto"/>
          <w:spacing w:val="0"/>
          <w:sz w:val="32"/>
          <w:szCs w:val="32"/>
          <w:highlight w:val="none"/>
        </w:rPr>
        <w:t>配置零售套餐</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配置时应遵循本细则或政策规则明确的零售结算模式及参数标准。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Style w:val="12"/>
          <w:rFonts w:hint="eastAsia" w:ascii="黑体" w:hAnsi="黑体" w:eastAsia="黑体" w:cs="黑体"/>
          <w:b w:val="0"/>
          <w:bCs w:val="0"/>
          <w:i w:val="0"/>
          <w:iCs w:val="0"/>
          <w:caps w:val="0"/>
          <w:color w:val="auto"/>
          <w:spacing w:val="0"/>
          <w:sz w:val="32"/>
          <w:szCs w:val="32"/>
          <w:highlight w:val="none"/>
          <w:lang w:val="en-US" w:eastAsia="zh-CN"/>
        </w:rPr>
      </w:pPr>
      <w:r>
        <w:rPr>
          <w:rStyle w:val="12"/>
          <w:rFonts w:hint="eastAsia" w:ascii="黑体" w:hAnsi="黑体" w:eastAsia="黑体" w:cs="黑体"/>
          <w:b w:val="0"/>
          <w:bCs w:val="0"/>
          <w:i w:val="0"/>
          <w:iCs w:val="0"/>
          <w:caps w:val="0"/>
          <w:color w:val="auto"/>
          <w:spacing w:val="0"/>
          <w:sz w:val="32"/>
          <w:szCs w:val="32"/>
          <w:highlight w:val="none"/>
          <w:lang w:val="en-US" w:eastAsia="zh-CN"/>
        </w:rPr>
        <w:t>6.零售交易组织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6.1海南省内电力零售交易平台未建立前，双方通过线下协商的方式选取零售套餐，并根据电力交易中心发布的零售合同模板（详见附件）完成线下合同签订后，</w:t>
      </w:r>
      <w:r>
        <w:rPr>
          <w:rFonts w:hint="eastAsia" w:ascii="仿宋_GB2312" w:hAnsi="仿宋_GB2312" w:eastAsia="仿宋_GB2312" w:cs="仿宋_GB2312"/>
          <w:color w:val="auto"/>
          <w:sz w:val="32"/>
          <w:szCs w:val="32"/>
          <w:highlight w:val="none"/>
        </w:rPr>
        <w:t>由</w:t>
      </w:r>
      <w:r>
        <w:rPr>
          <w:rFonts w:hint="eastAsia" w:ascii="仿宋_GB2312" w:hAnsi="仿宋_GB2312" w:eastAsia="仿宋_GB2312" w:cs="仿宋_GB2312"/>
          <w:color w:val="auto"/>
          <w:sz w:val="32"/>
          <w:szCs w:val="32"/>
          <w:highlight w:val="none"/>
          <w:lang w:val="en-US" w:eastAsia="zh-CN"/>
        </w:rPr>
        <w:t>售电公司</w:t>
      </w:r>
      <w:r>
        <w:rPr>
          <w:rFonts w:hint="eastAsia" w:ascii="仿宋_GB2312" w:hAnsi="仿宋_GB2312" w:eastAsia="仿宋_GB2312" w:cs="仿宋_GB2312"/>
          <w:color w:val="auto"/>
          <w:sz w:val="32"/>
          <w:szCs w:val="32"/>
          <w:highlight w:val="none"/>
        </w:rPr>
        <w:t>在交易</w:t>
      </w:r>
      <w:r>
        <w:rPr>
          <w:rFonts w:hint="eastAsia" w:ascii="仿宋_GB2312" w:hAnsi="仿宋_GB2312" w:eastAsia="仿宋_GB2312" w:cs="仿宋_GB2312"/>
          <w:color w:val="auto"/>
          <w:sz w:val="32"/>
          <w:szCs w:val="32"/>
          <w:highlight w:val="none"/>
          <w:lang w:val="en-US" w:eastAsia="zh-CN"/>
        </w:rPr>
        <w:t>平台</w:t>
      </w:r>
      <w:r>
        <w:rPr>
          <w:rFonts w:hint="eastAsia" w:ascii="仿宋_GB2312" w:hAnsi="仿宋_GB2312" w:eastAsia="仿宋_GB2312" w:cs="仿宋_GB2312"/>
          <w:color w:val="auto"/>
          <w:sz w:val="32"/>
          <w:szCs w:val="32"/>
          <w:highlight w:val="none"/>
        </w:rPr>
        <w:t>上</w:t>
      </w:r>
      <w:r>
        <w:rPr>
          <w:rFonts w:hint="eastAsia" w:ascii="仿宋_GB2312" w:hAnsi="仿宋_GB2312" w:eastAsia="仿宋_GB2312" w:cs="仿宋_GB2312"/>
          <w:color w:val="auto"/>
          <w:sz w:val="32"/>
          <w:szCs w:val="32"/>
          <w:highlight w:val="none"/>
          <w:lang w:val="en-US" w:eastAsia="zh-CN"/>
        </w:rPr>
        <w:t>发起</w:t>
      </w:r>
      <w:r>
        <w:rPr>
          <w:rFonts w:hint="eastAsia" w:ascii="仿宋_GB2312" w:hAnsi="仿宋_GB2312" w:eastAsia="仿宋_GB2312" w:cs="仿宋_GB2312"/>
          <w:color w:val="auto"/>
          <w:sz w:val="32"/>
          <w:szCs w:val="32"/>
          <w:highlight w:val="none"/>
        </w:rPr>
        <w:t>零售信息备案（含合同起止时间、零售双方主体、零售</w:t>
      </w:r>
      <w:r>
        <w:rPr>
          <w:rFonts w:hint="eastAsia" w:ascii="仿宋_GB2312" w:hAnsi="仿宋_GB2312" w:eastAsia="仿宋_GB2312" w:cs="仿宋_GB2312"/>
          <w:color w:val="auto"/>
          <w:sz w:val="32"/>
          <w:szCs w:val="32"/>
          <w:highlight w:val="none"/>
          <w:lang w:val="en-US" w:eastAsia="zh-CN"/>
        </w:rPr>
        <w:t>套餐</w:t>
      </w:r>
      <w:r>
        <w:rPr>
          <w:rFonts w:hint="eastAsia" w:ascii="仿宋_GB2312" w:hAnsi="仿宋_GB2312" w:eastAsia="仿宋_GB2312" w:cs="仿宋_GB2312"/>
          <w:color w:val="auto"/>
          <w:sz w:val="32"/>
          <w:szCs w:val="32"/>
          <w:highlight w:val="none"/>
        </w:rPr>
        <w:t>、价格</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分月计划电量、绿色电力交易电量比例</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零售用户登录确认。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eastAsia="zh-CN"/>
        </w:rPr>
        <w:t>6.2省内零售平台建立后，电力交易中心</w:t>
      </w:r>
      <w:r>
        <w:rPr>
          <w:rFonts w:hint="eastAsia" w:ascii="仿宋_GB2312" w:hAnsi="仿宋_GB2312" w:eastAsia="仿宋_GB2312" w:cs="仿宋_GB2312"/>
          <w:color w:val="auto"/>
          <w:sz w:val="32"/>
          <w:szCs w:val="32"/>
          <w:highlight w:val="none"/>
        </w:rPr>
        <w:t>结合业务发展需要</w:t>
      </w:r>
      <w:r>
        <w:rPr>
          <w:rFonts w:hint="eastAsia" w:ascii="仿宋_GB2312" w:hAnsi="仿宋_GB2312" w:eastAsia="仿宋_GB2312" w:cs="仿宋_GB2312"/>
          <w:color w:val="auto"/>
          <w:sz w:val="32"/>
          <w:szCs w:val="32"/>
          <w:highlight w:val="none"/>
          <w:lang w:val="en-US" w:eastAsia="zh-CN"/>
        </w:rPr>
        <w:t>增加</w:t>
      </w:r>
      <w:r>
        <w:rPr>
          <w:rStyle w:val="12"/>
          <w:rFonts w:hint="eastAsia" w:ascii="仿宋_GB2312" w:hAnsi="仿宋_GB2312" w:eastAsia="仿宋_GB2312" w:cs="仿宋_GB2312"/>
          <w:b w:val="0"/>
          <w:bCs w:val="0"/>
          <w:i w:val="0"/>
          <w:iCs w:val="0"/>
          <w:caps w:val="0"/>
          <w:color w:val="auto"/>
          <w:spacing w:val="0"/>
          <w:sz w:val="32"/>
          <w:szCs w:val="32"/>
          <w:highlight w:val="none"/>
        </w:rPr>
        <w:t>挂牌、邀约</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等</w:t>
      </w:r>
      <w:r>
        <w:rPr>
          <w:rStyle w:val="12"/>
          <w:rFonts w:hint="eastAsia" w:ascii="仿宋_GB2312" w:hAnsi="仿宋_GB2312" w:eastAsia="仿宋_GB2312" w:cs="仿宋_GB2312"/>
          <w:b w:val="0"/>
          <w:bCs w:val="0"/>
          <w:i w:val="0"/>
          <w:iCs w:val="0"/>
          <w:caps w:val="0"/>
          <w:color w:val="auto"/>
          <w:spacing w:val="0"/>
          <w:sz w:val="32"/>
          <w:szCs w:val="32"/>
          <w:highlight w:val="none"/>
        </w:rPr>
        <w:t>交易方式</w:t>
      </w:r>
      <w:r>
        <w:rPr>
          <w:rStyle w:val="12"/>
          <w:rFonts w:hint="eastAsia" w:ascii="仿宋_GB2312" w:hAnsi="仿宋_GB2312" w:eastAsia="仿宋_GB2312" w:cs="仿宋_GB2312"/>
          <w:b w:val="0"/>
          <w:bCs w:val="0"/>
          <w:i w:val="0"/>
          <w:iCs w:val="0"/>
          <w:caps w:val="0"/>
          <w:color w:val="auto"/>
          <w:spacing w:val="0"/>
          <w:sz w:val="32"/>
          <w:szCs w:val="32"/>
          <w:highlight w:val="none"/>
          <w:lang w:eastAsia="zh-CN"/>
        </w:rPr>
        <w:t>，</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并推行</w:t>
      </w:r>
      <w:r>
        <w:rPr>
          <w:rFonts w:hint="eastAsia" w:ascii="仿宋_GB2312" w:hAnsi="仿宋_GB2312" w:eastAsia="仿宋_GB2312" w:cs="仿宋_GB2312"/>
          <w:color w:val="auto"/>
          <w:sz w:val="32"/>
          <w:szCs w:val="32"/>
          <w:highlight w:val="none"/>
          <w:lang w:val="en-US" w:eastAsia="zh-CN"/>
        </w:rPr>
        <w:t>电子合同签订。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Style w:val="12"/>
          <w:rFonts w:hint="default" w:ascii="黑体" w:hAnsi="黑体" w:eastAsia="黑体" w:cs="黑体"/>
          <w:b w:val="0"/>
          <w:bCs w:val="0"/>
          <w:i w:val="0"/>
          <w:iCs w:val="0"/>
          <w:caps w:val="0"/>
          <w:color w:val="auto"/>
          <w:spacing w:val="0"/>
          <w:sz w:val="32"/>
          <w:szCs w:val="32"/>
          <w:highlight w:val="none"/>
          <w:lang w:val="en-US" w:eastAsia="zh-CN"/>
        </w:rPr>
      </w:pPr>
      <w:r>
        <w:rPr>
          <w:rStyle w:val="12"/>
          <w:rFonts w:hint="eastAsia" w:ascii="黑体" w:hAnsi="黑体" w:eastAsia="黑体" w:cs="黑体"/>
          <w:b w:val="0"/>
          <w:bCs w:val="0"/>
          <w:i w:val="0"/>
          <w:iCs w:val="0"/>
          <w:caps w:val="0"/>
          <w:color w:val="auto"/>
          <w:spacing w:val="0"/>
          <w:sz w:val="32"/>
          <w:szCs w:val="32"/>
          <w:highlight w:val="none"/>
          <w:lang w:val="en-US" w:eastAsia="zh-CN"/>
        </w:rPr>
        <w:t>7.合同管理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7.1售</w:t>
      </w:r>
      <w:r>
        <w:rPr>
          <w:rFonts w:hint="eastAsia" w:ascii="仿宋_GB2312" w:hAnsi="仿宋_GB2312" w:eastAsia="仿宋_GB2312" w:cs="仿宋_GB2312"/>
          <w:color w:val="auto"/>
          <w:sz w:val="32"/>
          <w:szCs w:val="32"/>
          <w:highlight w:val="none"/>
          <w:lang w:val="en-US" w:eastAsia="zh-CN"/>
        </w:rPr>
        <w:t>电公司与零售用户以月度为最小交易周期开展合同签订、变更及解除，</w:t>
      </w:r>
      <w:r>
        <w:rPr>
          <w:rFonts w:hint="eastAsia" w:ascii="仿宋_GB2312" w:hAnsi="宋体" w:eastAsia="仿宋_GB2312" w:cs="仿宋_GB2312"/>
          <w:color w:val="auto"/>
          <w:kern w:val="0"/>
          <w:sz w:val="32"/>
          <w:szCs w:val="32"/>
          <w:highlight w:val="none"/>
          <w:lang w:val="en-US" w:eastAsia="zh-CN"/>
        </w:rPr>
        <w:t>双方在交易平台登记备案</w:t>
      </w:r>
      <w:r>
        <w:rPr>
          <w:rFonts w:hint="eastAsia" w:ascii="仿宋_GB2312" w:hAnsi="仿宋_GB2312" w:eastAsia="仿宋_GB2312" w:cs="仿宋_GB2312"/>
          <w:color w:val="auto"/>
          <w:sz w:val="32"/>
          <w:szCs w:val="32"/>
          <w:highlight w:val="none"/>
          <w:lang w:val="en-US" w:eastAsia="zh-CN"/>
        </w:rPr>
        <w:t>生效</w:t>
      </w:r>
      <w:r>
        <w:rPr>
          <w:rFonts w:hint="eastAsia" w:ascii="仿宋_GB2312" w:hAnsi="宋体" w:eastAsia="仿宋_GB2312" w:cs="仿宋_GB2312"/>
          <w:color w:val="auto"/>
          <w:kern w:val="0"/>
          <w:sz w:val="32"/>
          <w:szCs w:val="32"/>
          <w:highlight w:val="none"/>
          <w:lang w:val="en-US" w:eastAsia="zh-CN"/>
        </w:rPr>
        <w:t>的零售合同作为零售服务关系确立标志</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7.2</w:t>
      </w:r>
      <w:r>
        <w:rPr>
          <w:rStyle w:val="12"/>
          <w:rFonts w:hint="eastAsia" w:ascii="仿宋_GB2312" w:hAnsi="仿宋_GB2312" w:eastAsia="仿宋_GB2312" w:cs="仿宋_GB2312"/>
          <w:b w:val="0"/>
          <w:bCs w:val="0"/>
          <w:i w:val="0"/>
          <w:iCs w:val="0"/>
          <w:caps w:val="0"/>
          <w:color w:val="auto"/>
          <w:spacing w:val="0"/>
          <w:sz w:val="32"/>
          <w:szCs w:val="32"/>
          <w:highlight w:val="none"/>
        </w:rPr>
        <w:t>零售合同到期前，</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零售</w:t>
      </w:r>
      <w:r>
        <w:rPr>
          <w:rStyle w:val="12"/>
          <w:rFonts w:hint="eastAsia" w:ascii="仿宋_GB2312" w:hAnsi="仿宋_GB2312" w:eastAsia="仿宋_GB2312" w:cs="仿宋_GB2312"/>
          <w:b w:val="0"/>
          <w:bCs w:val="0"/>
          <w:i w:val="0"/>
          <w:iCs w:val="0"/>
          <w:caps w:val="0"/>
          <w:color w:val="auto"/>
          <w:spacing w:val="0"/>
          <w:sz w:val="32"/>
          <w:szCs w:val="32"/>
          <w:highlight w:val="none"/>
        </w:rPr>
        <w:t>用户应及时</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与原售电公司续约、重新选择售电公司进行服务关系确认或</w:t>
      </w:r>
      <w:r>
        <w:rPr>
          <w:rStyle w:val="12"/>
          <w:rFonts w:ascii="仿宋_GB2312" w:hAnsi="仿宋_GB2312" w:eastAsia="仿宋_GB2312" w:cs="仿宋_GB2312"/>
          <w:b w:val="0"/>
          <w:color w:val="auto"/>
          <w:sz w:val="32"/>
          <w:szCs w:val="32"/>
          <w:highlight w:val="none"/>
        </w:rPr>
        <w:t>办理退市手续转由电网企业代理购电</w:t>
      </w:r>
      <w:r>
        <w:rPr>
          <w:rStyle w:val="12"/>
          <w:rFonts w:hint="eastAsia" w:ascii="仿宋_GB2312" w:hAnsi="仿宋_GB2312" w:eastAsia="仿宋_GB2312" w:cs="仿宋_GB2312"/>
          <w:b w:val="0"/>
          <w:bCs w:val="0"/>
          <w:i w:val="0"/>
          <w:iCs w:val="0"/>
          <w:caps w:val="0"/>
          <w:color w:val="auto"/>
          <w:spacing w:val="0"/>
          <w:sz w:val="32"/>
          <w:szCs w:val="32"/>
          <w:highlight w:val="none"/>
        </w:rPr>
        <w:t>。</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未进行上述选择</w:t>
      </w:r>
      <w:r>
        <w:rPr>
          <w:rStyle w:val="12"/>
          <w:rFonts w:hint="eastAsia" w:ascii="仿宋_GB2312" w:hAnsi="仿宋_GB2312" w:eastAsia="仿宋_GB2312" w:cs="仿宋_GB2312"/>
          <w:b w:val="0"/>
          <w:bCs w:val="0"/>
          <w:i w:val="0"/>
          <w:iCs w:val="0"/>
          <w:caps w:val="0"/>
          <w:color w:val="auto"/>
          <w:spacing w:val="0"/>
          <w:sz w:val="32"/>
          <w:szCs w:val="32"/>
          <w:highlight w:val="none"/>
        </w:rPr>
        <w:t>，</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该用户的</w:t>
      </w:r>
      <w:r>
        <w:rPr>
          <w:rStyle w:val="12"/>
          <w:rFonts w:ascii="仿宋_GB2312" w:hAnsi="仿宋_GB2312" w:eastAsia="仿宋_GB2312" w:cs="仿宋_GB2312"/>
          <w:b w:val="0"/>
          <w:bCs w:val="0"/>
          <w:color w:val="auto"/>
          <w:sz w:val="32"/>
          <w:szCs w:val="32"/>
          <w:highlight w:val="none"/>
        </w:rPr>
        <w:t>零售市场电能量费用</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按无合同用户处理</w:t>
      </w:r>
      <w:r>
        <w:rPr>
          <w:rStyle w:val="12"/>
          <w:rFonts w:hint="eastAsia" w:ascii="仿宋_GB2312" w:hAnsi="仿宋_GB2312" w:eastAsia="仿宋_GB2312" w:cs="仿宋_GB2312"/>
          <w:b w:val="0"/>
          <w:bCs w:val="0"/>
          <w:i w:val="0"/>
          <w:iCs w:val="0"/>
          <w:caps w:val="0"/>
          <w:color w:val="auto"/>
          <w:spacing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Style w:val="12"/>
          <w:rFonts w:hint="eastAsia" w:ascii="仿宋_GB2312" w:hAnsi="仿宋_GB2312" w:eastAsia="仿宋_GB2312" w:cs="仿宋_GB2312"/>
          <w:b w:val="0"/>
          <w:bCs w:val="0"/>
          <w:i w:val="0"/>
          <w:iCs w:val="0"/>
          <w:caps w:val="0"/>
          <w:color w:val="auto"/>
          <w:spacing w:val="0"/>
          <w:sz w:val="32"/>
          <w:szCs w:val="32"/>
          <w:highlight w:val="none"/>
        </w:rPr>
      </w:pPr>
      <w:r>
        <w:rPr>
          <w:rFonts w:hint="eastAsia" w:ascii="仿宋_GB2312" w:hAnsi="仿宋_GB2312" w:eastAsia="仿宋_GB2312" w:cs="仿宋_GB2312"/>
          <w:color w:val="auto"/>
          <w:sz w:val="32"/>
          <w:szCs w:val="32"/>
          <w:highlight w:val="none"/>
          <w:lang w:val="en-US" w:eastAsia="zh-CN"/>
        </w:rPr>
        <w:t>7.3</w:t>
      </w:r>
      <w:r>
        <w:rPr>
          <w:rStyle w:val="12"/>
          <w:rFonts w:hint="eastAsia" w:ascii="仿宋_GB2312" w:hAnsi="仿宋_GB2312" w:eastAsia="仿宋_GB2312" w:cs="仿宋_GB2312"/>
          <w:b w:val="0"/>
          <w:bCs w:val="0"/>
          <w:i w:val="0"/>
          <w:iCs w:val="0"/>
          <w:caps w:val="0"/>
          <w:color w:val="auto"/>
          <w:spacing w:val="0"/>
          <w:sz w:val="32"/>
          <w:szCs w:val="32"/>
          <w:highlight w:val="none"/>
        </w:rPr>
        <w:t>零售合同签订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pP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7.3.1签订合同时，可选择的合同生效日期为业务发起日的次月及后续月份。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7.3.1.1</w:t>
      </w:r>
      <w:r>
        <w:rPr>
          <w:rFonts w:hint="eastAsia" w:ascii="仿宋_GB2312" w:hAnsi="仿宋_GB2312" w:eastAsia="仿宋_GB2312" w:cs="仿宋_GB2312"/>
          <w:color w:val="auto"/>
          <w:sz w:val="32"/>
          <w:szCs w:val="32"/>
          <w:highlight w:val="none"/>
        </w:rPr>
        <w:t>由电网企业代理购电的工商业用户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含新报装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在完成</w:t>
      </w:r>
      <w:r>
        <w:rPr>
          <w:rFonts w:hint="eastAsia" w:ascii="仿宋_GB2312" w:hAnsi="仿宋_GB2312" w:eastAsia="仿宋_GB2312" w:cs="仿宋_GB2312"/>
          <w:color w:val="auto"/>
          <w:sz w:val="32"/>
          <w:szCs w:val="32"/>
          <w:highlight w:val="none"/>
          <w:lang w:val="en-US" w:eastAsia="zh-CN"/>
        </w:rPr>
        <w:t>市场</w:t>
      </w:r>
      <w:r>
        <w:rPr>
          <w:rFonts w:hint="eastAsia" w:ascii="仿宋_GB2312" w:hAnsi="仿宋_GB2312" w:eastAsia="仿宋_GB2312" w:cs="仿宋_GB2312"/>
          <w:color w:val="auto"/>
          <w:sz w:val="32"/>
          <w:szCs w:val="32"/>
          <w:highlight w:val="none"/>
        </w:rPr>
        <w:t>注册后，默认具有零售交易权限，</w:t>
      </w:r>
      <w:r>
        <w:rPr>
          <w:rFonts w:hint="eastAsia" w:ascii="仿宋_GB2312" w:hAnsi="仿宋_GB2312" w:eastAsia="仿宋_GB2312" w:cs="仿宋_GB2312"/>
          <w:color w:val="auto"/>
          <w:sz w:val="32"/>
          <w:szCs w:val="32"/>
          <w:highlight w:val="none"/>
          <w:lang w:val="en-US" w:eastAsia="zh-CN"/>
        </w:rPr>
        <w:t>须</w:t>
      </w:r>
      <w:r>
        <w:rPr>
          <w:rFonts w:hint="eastAsia" w:ascii="仿宋_GB2312" w:hAnsi="仿宋_GB2312" w:eastAsia="仿宋_GB2312" w:cs="仿宋_GB2312"/>
          <w:color w:val="auto"/>
          <w:sz w:val="32"/>
          <w:szCs w:val="32"/>
          <w:highlight w:val="none"/>
        </w:rPr>
        <w:t>在每</w:t>
      </w:r>
      <w:r>
        <w:rPr>
          <w:rFonts w:hint="eastAsia" w:ascii="仿宋_GB2312" w:hAnsi="仿宋_GB2312" w:eastAsia="仿宋_GB2312" w:cs="仿宋_GB2312"/>
          <w:color w:val="auto"/>
          <w:sz w:val="32"/>
          <w:szCs w:val="32"/>
          <w:highlight w:val="none"/>
          <w:lang w:val="en-US" w:eastAsia="zh-CN"/>
        </w:rPr>
        <w:t>月</w:t>
      </w:r>
      <w:r>
        <w:rPr>
          <w:rFonts w:hint="eastAsia" w:ascii="仿宋_GB2312" w:hAnsi="仿宋_GB2312" w:eastAsia="仿宋_GB2312" w:cs="仿宋_GB2312"/>
          <w:color w:val="auto"/>
          <w:sz w:val="32"/>
          <w:szCs w:val="32"/>
          <w:highlight w:val="none"/>
        </w:rPr>
        <w:t>15日前</w:t>
      </w:r>
      <w:r>
        <w:rPr>
          <w:rFonts w:hint="eastAsia" w:ascii="仿宋_GB2312" w:hAnsi="仿宋_GB2312" w:eastAsia="仿宋_GB2312" w:cs="仿宋_GB2312"/>
          <w:color w:val="auto"/>
          <w:sz w:val="32"/>
          <w:szCs w:val="32"/>
          <w:highlight w:val="none"/>
          <w:lang w:val="en-US" w:eastAsia="zh-CN"/>
        </w:rPr>
        <w:t>通过交易平台完成零售合同备案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如有调整，以电力交易中心发布的交易公告为准。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7.3.1.2合同有效期内需更换售电公司、零售合同当月到期的零售用户以及保底零售用户需退出保底服务重新签订零售合同的，须在每月20日前通过交易平台完成零售合同备案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如有调整，以电力交易中心发布的交易公告为准。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7.3.2保底零售合同签订及保底零售价格按</w:t>
      </w:r>
      <w:r>
        <w:rPr>
          <w:rFonts w:hint="eastAsia" w:ascii="仿宋_GB2312" w:hAnsi="仿宋_GB2312" w:eastAsia="仿宋_GB2312" w:cs="仿宋_GB2312"/>
          <w:color w:val="auto"/>
          <w:sz w:val="32"/>
          <w:szCs w:val="32"/>
          <w:highlight w:val="none"/>
        </w:rPr>
        <w:t>保底售电</w:t>
      </w:r>
      <w:r>
        <w:rPr>
          <w:rFonts w:hint="eastAsia" w:ascii="仿宋_GB2312" w:hAnsi="仿宋_GB2312" w:eastAsia="仿宋_GB2312" w:cs="仿宋_GB2312"/>
          <w:color w:val="auto"/>
          <w:sz w:val="32"/>
          <w:szCs w:val="32"/>
          <w:highlight w:val="none"/>
          <w:lang w:val="en-US" w:eastAsia="zh-CN"/>
        </w:rPr>
        <w:t>方案</w:t>
      </w:r>
      <w:r>
        <w:rPr>
          <w:rFonts w:hint="eastAsia" w:ascii="仿宋_GB2312" w:hAnsi="仿宋_GB2312" w:eastAsia="仿宋_GB2312" w:cs="仿宋_GB2312"/>
          <w:color w:val="auto"/>
          <w:sz w:val="32"/>
          <w:szCs w:val="32"/>
          <w:highlight w:val="none"/>
        </w:rPr>
        <w:t>执行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7.3.3按照绿证价格费用结算要求，在签订合同时，委托售电公司参与绿色电力交易的，分月绿电交易计划电量（分月计划电量×绿色电力交易电量比例）须大于1兆瓦时。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Style w:val="12"/>
          <w:rFonts w:hint="eastAsia" w:ascii="仿宋_GB2312" w:hAnsi="仿宋_GB2312" w:eastAsia="仿宋_GB2312" w:cs="仿宋_GB2312"/>
          <w:b w:val="0"/>
          <w:bCs w:val="0"/>
          <w:i w:val="0"/>
          <w:iCs w:val="0"/>
          <w:caps w:val="0"/>
          <w:color w:val="auto"/>
          <w:spacing w:val="0"/>
          <w:sz w:val="32"/>
          <w:szCs w:val="32"/>
          <w:highlight w:val="none"/>
        </w:rPr>
      </w:pP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7.4</w:t>
      </w:r>
      <w:r>
        <w:rPr>
          <w:rStyle w:val="12"/>
          <w:rFonts w:hint="eastAsia" w:ascii="仿宋_GB2312" w:hAnsi="仿宋_GB2312" w:eastAsia="仿宋_GB2312" w:cs="仿宋_GB2312"/>
          <w:b w:val="0"/>
          <w:bCs w:val="0"/>
          <w:i w:val="0"/>
          <w:iCs w:val="0"/>
          <w:caps w:val="0"/>
          <w:color w:val="auto"/>
          <w:spacing w:val="0"/>
          <w:sz w:val="32"/>
          <w:szCs w:val="32"/>
          <w:highlight w:val="none"/>
        </w:rPr>
        <w:t>零售合同变更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2"/>
          <w:rFonts w:hint="eastAsia" w:ascii="仿宋_GB2312" w:hAnsi="仿宋_GB2312" w:eastAsia="仿宋_GB2312" w:cs="仿宋_GB2312"/>
          <w:b w:val="0"/>
          <w:bCs w:val="0"/>
          <w:i w:val="0"/>
          <w:iCs w:val="0"/>
          <w:caps w:val="0"/>
          <w:color w:val="auto"/>
          <w:spacing w:val="0"/>
          <w:sz w:val="32"/>
          <w:szCs w:val="32"/>
          <w:highlight w:val="none"/>
        </w:rPr>
      </w:pP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7.4.1</w:t>
      </w:r>
      <w:r>
        <w:rPr>
          <w:rStyle w:val="12"/>
          <w:rFonts w:hint="eastAsia" w:ascii="仿宋_GB2312" w:hAnsi="仿宋_GB2312" w:eastAsia="仿宋_GB2312" w:cs="仿宋_GB2312"/>
          <w:b w:val="0"/>
          <w:bCs w:val="0"/>
          <w:i w:val="0"/>
          <w:iCs w:val="0"/>
          <w:caps w:val="0"/>
          <w:color w:val="auto"/>
          <w:spacing w:val="0"/>
          <w:sz w:val="32"/>
          <w:szCs w:val="32"/>
          <w:highlight w:val="none"/>
        </w:rPr>
        <w:t>零售合同有效期内，售电公司</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或零售</w:t>
      </w:r>
      <w:r>
        <w:rPr>
          <w:rStyle w:val="12"/>
          <w:rFonts w:hint="eastAsia" w:ascii="仿宋_GB2312" w:hAnsi="仿宋_GB2312" w:eastAsia="仿宋_GB2312" w:cs="仿宋_GB2312"/>
          <w:b w:val="0"/>
          <w:bCs w:val="0"/>
          <w:i w:val="0"/>
          <w:iCs w:val="0"/>
          <w:caps w:val="0"/>
          <w:color w:val="auto"/>
          <w:spacing w:val="0"/>
          <w:sz w:val="32"/>
          <w:szCs w:val="32"/>
          <w:highlight w:val="none"/>
        </w:rPr>
        <w:t>用户需对零售合同</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中</w:t>
      </w:r>
      <w:r>
        <w:rPr>
          <w:rStyle w:val="12"/>
          <w:rFonts w:ascii="仿宋_GB2312" w:hAnsi="仿宋_GB2312" w:eastAsia="仿宋_GB2312" w:cs="仿宋_GB2312"/>
          <w:b w:val="0"/>
          <w:bCs w:val="0"/>
          <w:color w:val="auto"/>
          <w:sz w:val="32"/>
          <w:szCs w:val="32"/>
          <w:highlight w:val="none"/>
        </w:rPr>
        <w:t>结算模式、电能量（服务费）价格、分月计划电量、绿色电力交易电量比例及</w:t>
      </w:r>
      <w:r>
        <w:rPr>
          <w:rStyle w:val="12"/>
          <w:rFonts w:hint="eastAsia" w:ascii="仿宋_GB2312" w:hAnsi="仿宋_GB2312" w:eastAsia="仿宋_GB2312" w:cs="仿宋_GB2312"/>
          <w:b w:val="0"/>
          <w:bCs w:val="0"/>
          <w:color w:val="auto"/>
          <w:sz w:val="32"/>
          <w:szCs w:val="32"/>
          <w:highlight w:val="none"/>
          <w:lang w:val="en-US" w:eastAsia="zh-CN"/>
        </w:rPr>
        <w:t>绿证</w:t>
      </w:r>
      <w:r>
        <w:rPr>
          <w:rStyle w:val="12"/>
          <w:rFonts w:ascii="仿宋_GB2312" w:hAnsi="仿宋_GB2312" w:eastAsia="仿宋_GB2312" w:cs="仿宋_GB2312"/>
          <w:b w:val="0"/>
          <w:bCs w:val="0"/>
          <w:color w:val="auto"/>
          <w:sz w:val="32"/>
          <w:szCs w:val="32"/>
          <w:highlight w:val="none"/>
        </w:rPr>
        <w:t>价格</w:t>
      </w:r>
      <w:r>
        <w:rPr>
          <w:rStyle w:val="12"/>
          <w:rFonts w:hint="eastAsia" w:ascii="仿宋_GB2312" w:hAnsi="仿宋_GB2312" w:eastAsia="仿宋_GB2312" w:cs="仿宋_GB2312"/>
          <w:b w:val="0"/>
          <w:bCs w:val="0"/>
          <w:i w:val="0"/>
          <w:iCs w:val="0"/>
          <w:caps w:val="0"/>
          <w:color w:val="auto"/>
          <w:spacing w:val="0"/>
          <w:sz w:val="32"/>
          <w:szCs w:val="32"/>
          <w:highlight w:val="none"/>
        </w:rPr>
        <w:t>等关键信息进行变更的，</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经</w:t>
      </w:r>
      <w:r>
        <w:rPr>
          <w:rStyle w:val="12"/>
          <w:rFonts w:hint="eastAsia" w:ascii="仿宋_GB2312" w:hAnsi="仿宋_GB2312" w:eastAsia="仿宋_GB2312" w:cs="仿宋_GB2312"/>
          <w:b w:val="0"/>
          <w:bCs w:val="0"/>
          <w:i w:val="0"/>
          <w:iCs w:val="0"/>
          <w:caps w:val="0"/>
          <w:color w:val="auto"/>
          <w:spacing w:val="0"/>
          <w:sz w:val="32"/>
          <w:szCs w:val="32"/>
          <w:highlight w:val="none"/>
        </w:rPr>
        <w:t>双方协商达成一致</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后</w:t>
      </w:r>
      <w:r>
        <w:rPr>
          <w:rStyle w:val="12"/>
          <w:rFonts w:hint="eastAsia" w:ascii="仿宋_GB2312" w:hAnsi="仿宋_GB2312" w:eastAsia="仿宋_GB2312" w:cs="仿宋_GB2312"/>
          <w:b w:val="0"/>
          <w:bCs w:val="0"/>
          <w:i w:val="0"/>
          <w:iCs w:val="0"/>
          <w:caps w:val="0"/>
          <w:color w:val="auto"/>
          <w:spacing w:val="0"/>
          <w:sz w:val="32"/>
          <w:szCs w:val="32"/>
          <w:highlight w:val="none"/>
        </w:rPr>
        <w:t>，</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由任意一方</w:t>
      </w:r>
      <w:r>
        <w:rPr>
          <w:rStyle w:val="12"/>
          <w:rFonts w:hint="eastAsia" w:ascii="仿宋_GB2312" w:hAnsi="仿宋_GB2312" w:eastAsia="仿宋_GB2312" w:cs="仿宋_GB2312"/>
          <w:b w:val="0"/>
          <w:bCs w:val="0"/>
          <w:i w:val="0"/>
          <w:iCs w:val="0"/>
          <w:caps w:val="0"/>
          <w:color w:val="auto"/>
          <w:spacing w:val="0"/>
          <w:sz w:val="32"/>
          <w:szCs w:val="32"/>
          <w:highlight w:val="none"/>
        </w:rPr>
        <w:t>在交易</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平台发起变更申请，另一方确认</w:t>
      </w:r>
      <w:r>
        <w:rPr>
          <w:rStyle w:val="12"/>
          <w:rFonts w:hint="eastAsia" w:ascii="仿宋_GB2312" w:hAnsi="仿宋_GB2312" w:eastAsia="仿宋_GB2312" w:cs="仿宋_GB2312"/>
          <w:b w:val="0"/>
          <w:bCs w:val="0"/>
          <w:i w:val="0"/>
          <w:iCs w:val="0"/>
          <w:caps w:val="0"/>
          <w:color w:val="auto"/>
          <w:spacing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2"/>
          <w:rFonts w:hint="eastAsia" w:ascii="仿宋_GB2312" w:hAnsi="仿宋_GB2312" w:eastAsia="仿宋_GB2312" w:cs="仿宋_GB2312"/>
          <w:b w:val="0"/>
          <w:bCs w:val="0"/>
          <w:i w:val="0"/>
          <w:iCs w:val="0"/>
          <w:caps w:val="0"/>
          <w:color w:val="auto"/>
          <w:spacing w:val="0"/>
          <w:sz w:val="32"/>
          <w:szCs w:val="32"/>
          <w:highlight w:val="none"/>
        </w:rPr>
      </w:pP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7.4</w:t>
      </w:r>
      <w:r>
        <w:rPr>
          <w:rStyle w:val="12"/>
          <w:rFonts w:hint="eastAsia" w:ascii="仿宋_GB2312" w:hAnsi="仿宋_GB2312" w:eastAsia="仿宋_GB2312" w:cs="仿宋_GB2312"/>
          <w:b w:val="0"/>
          <w:bCs w:val="0"/>
          <w:i w:val="0"/>
          <w:iCs w:val="0"/>
          <w:caps w:val="0"/>
          <w:color w:val="auto"/>
          <w:spacing w:val="0"/>
          <w:sz w:val="32"/>
          <w:szCs w:val="32"/>
          <w:highlight w:val="none"/>
        </w:rPr>
        <w:t>.2合同变更</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仅</w:t>
      </w:r>
      <w:r>
        <w:rPr>
          <w:rStyle w:val="12"/>
          <w:rFonts w:hint="eastAsia" w:ascii="仿宋_GB2312" w:hAnsi="仿宋_GB2312" w:eastAsia="仿宋_GB2312" w:cs="仿宋_GB2312"/>
          <w:b w:val="0"/>
          <w:bCs w:val="0"/>
          <w:i w:val="0"/>
          <w:iCs w:val="0"/>
          <w:caps w:val="0"/>
          <w:color w:val="auto"/>
          <w:spacing w:val="0"/>
          <w:sz w:val="32"/>
          <w:szCs w:val="32"/>
          <w:highlight w:val="none"/>
        </w:rPr>
        <w:t>适用于尚未开展结算的月份，已结算的月份</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不能</w:t>
      </w:r>
      <w:r>
        <w:rPr>
          <w:rStyle w:val="12"/>
          <w:rFonts w:hint="eastAsia" w:ascii="仿宋_GB2312" w:hAnsi="仿宋_GB2312" w:eastAsia="仿宋_GB2312" w:cs="仿宋_GB2312"/>
          <w:b w:val="0"/>
          <w:bCs w:val="0"/>
          <w:i w:val="0"/>
          <w:iCs w:val="0"/>
          <w:caps w:val="0"/>
          <w:color w:val="auto"/>
          <w:spacing w:val="0"/>
          <w:sz w:val="32"/>
          <w:szCs w:val="32"/>
          <w:highlight w:val="none"/>
        </w:rPr>
        <w:t>变更。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Style w:val="12"/>
          <w:rFonts w:hint="eastAsia" w:ascii="仿宋_GB2312" w:hAnsi="仿宋_GB2312" w:eastAsia="仿宋_GB2312" w:cs="仿宋_GB2312"/>
          <w:b w:val="0"/>
          <w:bCs w:val="0"/>
          <w:i w:val="0"/>
          <w:iCs w:val="0"/>
          <w:caps w:val="0"/>
          <w:color w:val="auto"/>
          <w:spacing w:val="0"/>
          <w:sz w:val="32"/>
          <w:szCs w:val="32"/>
          <w:highlight w:val="none"/>
        </w:rPr>
      </w:pP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7.5</w:t>
      </w:r>
      <w:r>
        <w:rPr>
          <w:rStyle w:val="12"/>
          <w:rFonts w:hint="eastAsia" w:ascii="仿宋_GB2312" w:hAnsi="仿宋_GB2312" w:eastAsia="仿宋_GB2312" w:cs="仿宋_GB2312"/>
          <w:b w:val="0"/>
          <w:bCs w:val="0"/>
          <w:i w:val="0"/>
          <w:iCs w:val="0"/>
          <w:caps w:val="0"/>
          <w:color w:val="auto"/>
          <w:spacing w:val="0"/>
          <w:sz w:val="32"/>
          <w:szCs w:val="32"/>
          <w:highlight w:val="none"/>
        </w:rPr>
        <w:t>零售合同解除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2"/>
          <w:rFonts w:hint="eastAsia" w:ascii="仿宋_GB2312" w:hAnsi="仿宋_GB2312" w:eastAsia="仿宋_GB2312" w:cs="仿宋_GB2312"/>
          <w:b w:val="0"/>
          <w:bCs w:val="0"/>
          <w:i w:val="0"/>
          <w:iCs w:val="0"/>
          <w:caps w:val="0"/>
          <w:color w:val="auto"/>
          <w:spacing w:val="0"/>
          <w:sz w:val="32"/>
          <w:szCs w:val="32"/>
          <w:highlight w:val="none"/>
        </w:rPr>
      </w:pP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7.5.</w:t>
      </w:r>
      <w:r>
        <w:rPr>
          <w:rStyle w:val="12"/>
          <w:rFonts w:hint="eastAsia" w:ascii="仿宋_GB2312" w:hAnsi="仿宋_GB2312" w:eastAsia="仿宋_GB2312" w:cs="仿宋_GB2312"/>
          <w:b w:val="0"/>
          <w:bCs w:val="0"/>
          <w:i w:val="0"/>
          <w:iCs w:val="0"/>
          <w:caps w:val="0"/>
          <w:color w:val="auto"/>
          <w:spacing w:val="0"/>
          <w:sz w:val="32"/>
          <w:szCs w:val="32"/>
          <w:highlight w:val="none"/>
        </w:rPr>
        <w:t>1零售合同有效期内，售电公司与</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零售</w:t>
      </w:r>
      <w:r>
        <w:rPr>
          <w:rStyle w:val="12"/>
          <w:rFonts w:hint="eastAsia" w:ascii="仿宋_GB2312" w:hAnsi="仿宋_GB2312" w:eastAsia="仿宋_GB2312" w:cs="仿宋_GB2312"/>
          <w:b w:val="0"/>
          <w:bCs w:val="0"/>
          <w:i w:val="0"/>
          <w:iCs w:val="0"/>
          <w:caps w:val="0"/>
          <w:color w:val="auto"/>
          <w:spacing w:val="0"/>
          <w:sz w:val="32"/>
          <w:szCs w:val="32"/>
          <w:highlight w:val="none"/>
        </w:rPr>
        <w:t>用户经过协商达成一致</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的</w:t>
      </w:r>
      <w:r>
        <w:rPr>
          <w:rStyle w:val="12"/>
          <w:rFonts w:hint="eastAsia" w:ascii="仿宋_GB2312" w:hAnsi="仿宋_GB2312" w:eastAsia="仿宋_GB2312" w:cs="仿宋_GB2312"/>
          <w:b w:val="0"/>
          <w:bCs w:val="0"/>
          <w:i w:val="0"/>
          <w:iCs w:val="0"/>
          <w:caps w:val="0"/>
          <w:color w:val="auto"/>
          <w:spacing w:val="0"/>
          <w:sz w:val="32"/>
          <w:szCs w:val="32"/>
          <w:highlight w:val="none"/>
        </w:rPr>
        <w:t>，双方可</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通过</w:t>
      </w:r>
      <w:r>
        <w:rPr>
          <w:rStyle w:val="12"/>
          <w:rFonts w:hint="eastAsia" w:ascii="仿宋_GB2312" w:hAnsi="仿宋_GB2312" w:eastAsia="仿宋_GB2312" w:cs="仿宋_GB2312"/>
          <w:b w:val="0"/>
          <w:bCs w:val="0"/>
          <w:i w:val="0"/>
          <w:iCs w:val="0"/>
          <w:caps w:val="0"/>
          <w:color w:val="auto"/>
          <w:spacing w:val="0"/>
          <w:sz w:val="32"/>
          <w:szCs w:val="32"/>
          <w:highlight w:val="none"/>
        </w:rPr>
        <w:t>交易</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平台</w:t>
      </w:r>
      <w:r>
        <w:rPr>
          <w:rStyle w:val="12"/>
          <w:rFonts w:hint="eastAsia" w:ascii="仿宋_GB2312" w:hAnsi="仿宋_GB2312" w:eastAsia="仿宋_GB2312" w:cs="仿宋_GB2312"/>
          <w:b w:val="0"/>
          <w:bCs w:val="0"/>
          <w:i w:val="0"/>
          <w:iCs w:val="0"/>
          <w:caps w:val="0"/>
          <w:color w:val="auto"/>
          <w:spacing w:val="0"/>
          <w:sz w:val="32"/>
          <w:szCs w:val="32"/>
          <w:highlight w:val="none"/>
        </w:rPr>
        <w:t>完成零售合同解除流程，提前终止合同。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2"/>
          <w:rFonts w:hint="eastAsia" w:ascii="仿宋_GB2312" w:hAnsi="仿宋_GB2312" w:eastAsia="仿宋_GB2312" w:cs="仿宋_GB2312"/>
          <w:b w:val="0"/>
          <w:bCs w:val="0"/>
          <w:i w:val="0"/>
          <w:iCs w:val="0"/>
          <w:caps w:val="0"/>
          <w:color w:val="auto"/>
          <w:spacing w:val="0"/>
          <w:sz w:val="32"/>
          <w:szCs w:val="32"/>
          <w:highlight w:val="none"/>
        </w:rPr>
      </w:pP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7.5.</w:t>
      </w:r>
      <w:r>
        <w:rPr>
          <w:rStyle w:val="12"/>
          <w:rFonts w:hint="eastAsia" w:ascii="仿宋_GB2312" w:hAnsi="仿宋_GB2312" w:eastAsia="仿宋_GB2312" w:cs="仿宋_GB2312"/>
          <w:b w:val="0"/>
          <w:bCs w:val="0"/>
          <w:i w:val="0"/>
          <w:iCs w:val="0"/>
          <w:caps w:val="0"/>
          <w:color w:val="auto"/>
          <w:spacing w:val="0"/>
          <w:sz w:val="32"/>
          <w:szCs w:val="32"/>
          <w:highlight w:val="none"/>
        </w:rPr>
        <w:t>2合同解除流程由</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任意</w:t>
      </w:r>
      <w:r>
        <w:rPr>
          <w:rStyle w:val="12"/>
          <w:rFonts w:hint="eastAsia" w:ascii="仿宋_GB2312" w:hAnsi="仿宋_GB2312" w:eastAsia="仿宋_GB2312" w:cs="仿宋_GB2312"/>
          <w:b w:val="0"/>
          <w:bCs w:val="0"/>
          <w:i w:val="0"/>
          <w:iCs w:val="0"/>
          <w:caps w:val="0"/>
          <w:color w:val="auto"/>
          <w:spacing w:val="0"/>
          <w:sz w:val="32"/>
          <w:szCs w:val="32"/>
          <w:highlight w:val="none"/>
        </w:rPr>
        <w:t>一方在交易</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平台</w:t>
      </w:r>
      <w:r>
        <w:rPr>
          <w:rStyle w:val="12"/>
          <w:rFonts w:hint="eastAsia" w:ascii="仿宋_GB2312" w:hAnsi="仿宋_GB2312" w:eastAsia="仿宋_GB2312" w:cs="仿宋_GB2312"/>
          <w:b w:val="0"/>
          <w:bCs w:val="0"/>
          <w:i w:val="0"/>
          <w:iCs w:val="0"/>
          <w:caps w:val="0"/>
          <w:color w:val="auto"/>
          <w:spacing w:val="0"/>
          <w:sz w:val="32"/>
          <w:szCs w:val="32"/>
          <w:highlight w:val="none"/>
        </w:rPr>
        <w:t>上</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选择解除生效日期（可选择的解除生效日期为业务发起日的次月及后续月份）</w:t>
      </w:r>
      <w:r>
        <w:rPr>
          <w:rStyle w:val="12"/>
          <w:rFonts w:hint="eastAsia" w:ascii="仿宋_GB2312" w:hAnsi="仿宋_GB2312" w:eastAsia="仿宋_GB2312" w:cs="仿宋_GB2312"/>
          <w:b w:val="0"/>
          <w:bCs w:val="0"/>
          <w:i w:val="0"/>
          <w:iCs w:val="0"/>
          <w:caps w:val="0"/>
          <w:color w:val="auto"/>
          <w:spacing w:val="0"/>
          <w:sz w:val="32"/>
          <w:szCs w:val="32"/>
          <w:highlight w:val="none"/>
        </w:rPr>
        <w:t>，另一方确认后</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即视为合同解除成功</w:t>
      </w:r>
      <w:r>
        <w:rPr>
          <w:rStyle w:val="12"/>
          <w:rFonts w:hint="eastAsia" w:ascii="仿宋_GB2312" w:hAnsi="仿宋_GB2312" w:eastAsia="仿宋_GB2312" w:cs="仿宋_GB2312"/>
          <w:b w:val="0"/>
          <w:bCs w:val="0"/>
          <w:i w:val="0"/>
          <w:iCs w:val="0"/>
          <w:caps w:val="0"/>
          <w:color w:val="auto"/>
          <w:spacing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Style w:val="12"/>
          <w:rFonts w:hint="default" w:ascii="黑体" w:hAnsi="黑体" w:eastAsia="黑体" w:cs="黑体"/>
          <w:b w:val="0"/>
          <w:bCs w:val="0"/>
          <w:i w:val="0"/>
          <w:iCs w:val="0"/>
          <w:caps w:val="0"/>
          <w:color w:val="auto"/>
          <w:spacing w:val="0"/>
          <w:sz w:val="32"/>
          <w:szCs w:val="32"/>
          <w:highlight w:val="none"/>
          <w:lang w:val="en-US" w:eastAsia="zh-CN"/>
        </w:rPr>
      </w:pPr>
      <w:r>
        <w:rPr>
          <w:rStyle w:val="12"/>
          <w:rFonts w:hint="eastAsia" w:ascii="黑体" w:hAnsi="黑体" w:eastAsia="黑体" w:cs="黑体"/>
          <w:b w:val="0"/>
          <w:bCs w:val="0"/>
          <w:i w:val="0"/>
          <w:iCs w:val="0"/>
          <w:caps w:val="0"/>
          <w:color w:val="auto"/>
          <w:spacing w:val="0"/>
          <w:sz w:val="32"/>
          <w:szCs w:val="32"/>
          <w:highlight w:val="none"/>
          <w:lang w:val="en-US" w:eastAsia="zh-CN"/>
        </w:rPr>
        <w:t>8.零售市场结算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8.1零售市场电能量费用结算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pP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交易中心以月度为周期开展电能量费用结算，根据</w:t>
      </w:r>
      <w:r>
        <w:rPr>
          <w:rFonts w:hint="eastAsia" w:ascii="仿宋_GB2312" w:hAnsi="仿宋_GB2312" w:eastAsia="仿宋_GB2312" w:cs="仿宋_GB2312"/>
          <w:color w:val="auto"/>
          <w:sz w:val="32"/>
          <w:szCs w:val="32"/>
          <w:highlight w:val="none"/>
          <w:lang w:val="en-US" w:eastAsia="zh-CN"/>
        </w:rPr>
        <w:t>零售用户</w:t>
      </w:r>
      <w:r>
        <w:rPr>
          <w:rFonts w:hint="eastAsia" w:ascii="仿宋_GB2312" w:hAnsi="仿宋_GB2312" w:eastAsia="仿宋_GB2312" w:cs="仿宋_GB2312"/>
          <w:color w:val="auto"/>
          <w:sz w:val="32"/>
          <w:szCs w:val="32"/>
          <w:highlight w:val="none"/>
        </w:rPr>
        <w:t>实际</w:t>
      </w:r>
      <w:r>
        <w:rPr>
          <w:rFonts w:hint="eastAsia" w:ascii="仿宋_GB2312" w:hAnsi="仿宋_GB2312" w:eastAsia="仿宋_GB2312" w:cs="仿宋_GB2312"/>
          <w:color w:val="auto"/>
          <w:sz w:val="32"/>
          <w:szCs w:val="32"/>
          <w:highlight w:val="none"/>
          <w:lang w:val="en-US" w:eastAsia="zh-CN"/>
        </w:rPr>
        <w:t>总</w:t>
      </w:r>
      <w:r>
        <w:rPr>
          <w:rFonts w:hint="eastAsia" w:ascii="仿宋_GB2312" w:hAnsi="仿宋_GB2312" w:eastAsia="仿宋_GB2312" w:cs="仿宋_GB2312"/>
          <w:color w:val="auto"/>
          <w:sz w:val="32"/>
          <w:szCs w:val="32"/>
          <w:highlight w:val="none"/>
        </w:rPr>
        <w:t>用电量</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及交易系统最终固化的零售套餐计算零售用户电能量电费。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pP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电能量电费=零售交易电费+峰谷浮动电费（若有）+服务费（若有）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8.1.1</w:t>
      </w:r>
      <w:r>
        <w:rPr>
          <w:rFonts w:hint="eastAsia" w:ascii="仿宋_GB2312" w:hAnsi="仿宋_GB2312" w:eastAsia="仿宋_GB2312" w:cs="仿宋_GB2312"/>
          <w:color w:val="auto"/>
          <w:sz w:val="32"/>
          <w:szCs w:val="32"/>
          <w:highlight w:val="none"/>
        </w:rPr>
        <w:t>固定价格</w:t>
      </w:r>
      <w:r>
        <w:rPr>
          <w:rFonts w:hint="eastAsia" w:ascii="仿宋_GB2312" w:hAnsi="仿宋_GB2312" w:eastAsia="仿宋_GB2312" w:cs="仿宋_GB2312"/>
          <w:color w:val="auto"/>
          <w:sz w:val="32"/>
          <w:szCs w:val="32"/>
          <w:highlight w:val="none"/>
          <w:lang w:val="en-US" w:eastAsia="zh-CN"/>
        </w:rPr>
        <w:t>套餐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零售</w:t>
      </w:r>
      <w:r>
        <w:rPr>
          <w:rFonts w:hint="eastAsia" w:ascii="仿宋_GB2312" w:hAnsi="仿宋_GB2312" w:eastAsia="仿宋_GB2312" w:cs="仿宋_GB2312"/>
          <w:color w:val="auto"/>
          <w:sz w:val="32"/>
          <w:szCs w:val="32"/>
          <w:highlight w:val="none"/>
          <w:lang w:val="en-US" w:eastAsia="zh-CN"/>
        </w:rPr>
        <w:t>交易</w:t>
      </w:r>
      <w:r>
        <w:rPr>
          <w:rFonts w:hint="eastAsia" w:ascii="仿宋_GB2312" w:hAnsi="仿宋_GB2312" w:eastAsia="仿宋_GB2312" w:cs="仿宋_GB2312"/>
          <w:color w:val="auto"/>
          <w:sz w:val="32"/>
          <w:szCs w:val="32"/>
          <w:highlight w:val="none"/>
        </w:rPr>
        <w:t>电费=</w:t>
      </w:r>
      <w:r>
        <w:rPr>
          <w:rFonts w:hint="eastAsia" w:ascii="仿宋_GB2312" w:hAnsi="仿宋_GB2312" w:eastAsia="仿宋_GB2312" w:cs="仿宋_GB2312"/>
          <w:color w:val="auto"/>
          <w:sz w:val="32"/>
          <w:szCs w:val="32"/>
          <w:highlight w:val="none"/>
          <w:lang w:val="en-US" w:eastAsia="zh-CN"/>
        </w:rPr>
        <w:t>零售用户</w:t>
      </w:r>
      <w:r>
        <w:rPr>
          <w:rFonts w:hint="eastAsia" w:ascii="仿宋_GB2312" w:hAnsi="仿宋_GB2312" w:eastAsia="仿宋_GB2312" w:cs="仿宋_GB2312"/>
          <w:color w:val="auto"/>
          <w:sz w:val="32"/>
          <w:szCs w:val="32"/>
          <w:highlight w:val="none"/>
        </w:rPr>
        <w:t>实际</w:t>
      </w:r>
      <w:r>
        <w:rPr>
          <w:rFonts w:hint="eastAsia" w:ascii="仿宋_GB2312" w:hAnsi="仿宋_GB2312" w:eastAsia="仿宋_GB2312" w:cs="仿宋_GB2312"/>
          <w:color w:val="auto"/>
          <w:sz w:val="32"/>
          <w:szCs w:val="32"/>
          <w:highlight w:val="none"/>
          <w:lang w:val="en-US" w:eastAsia="zh-CN"/>
        </w:rPr>
        <w:t>总</w:t>
      </w:r>
      <w:r>
        <w:rPr>
          <w:rFonts w:hint="eastAsia" w:ascii="仿宋_GB2312" w:hAnsi="仿宋_GB2312" w:eastAsia="仿宋_GB2312" w:cs="仿宋_GB2312"/>
          <w:color w:val="auto"/>
          <w:sz w:val="32"/>
          <w:szCs w:val="32"/>
          <w:highlight w:val="none"/>
        </w:rPr>
        <w:t>用电量×合同约定的固定价格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8.1.2</w:t>
      </w:r>
      <w:r>
        <w:rPr>
          <w:rFonts w:hint="eastAsia" w:ascii="仿宋_GB2312" w:hAnsi="仿宋_GB2312" w:eastAsia="仿宋_GB2312" w:cs="仿宋_GB2312"/>
          <w:color w:val="auto"/>
          <w:sz w:val="32"/>
          <w:szCs w:val="32"/>
          <w:highlight w:val="none"/>
        </w:rPr>
        <w:t>固定价格+市场联动</w:t>
      </w:r>
      <w:r>
        <w:rPr>
          <w:rFonts w:hint="eastAsia" w:ascii="仿宋_GB2312" w:hAnsi="仿宋_GB2312" w:eastAsia="仿宋_GB2312" w:cs="仿宋_GB2312"/>
          <w:color w:val="auto"/>
          <w:sz w:val="32"/>
          <w:szCs w:val="32"/>
          <w:highlight w:val="none"/>
          <w:lang w:val="en-US" w:eastAsia="zh-CN"/>
        </w:rPr>
        <w:t>套餐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零售</w:t>
      </w:r>
      <w:r>
        <w:rPr>
          <w:rFonts w:hint="eastAsia" w:ascii="仿宋_GB2312" w:hAnsi="仿宋_GB2312" w:eastAsia="仿宋_GB2312" w:cs="仿宋_GB2312"/>
          <w:color w:val="auto"/>
          <w:sz w:val="32"/>
          <w:szCs w:val="32"/>
          <w:highlight w:val="none"/>
          <w:lang w:val="en-US" w:eastAsia="zh-CN"/>
        </w:rPr>
        <w:t>交易</w:t>
      </w:r>
      <w:r>
        <w:rPr>
          <w:rFonts w:hint="eastAsia" w:ascii="仿宋_GB2312" w:hAnsi="仿宋_GB2312" w:eastAsia="仿宋_GB2312" w:cs="仿宋_GB2312"/>
          <w:color w:val="auto"/>
          <w:sz w:val="32"/>
          <w:szCs w:val="32"/>
          <w:highlight w:val="none"/>
        </w:rPr>
        <w:t>电费=固定价格电费+市场联动电费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其中：固定价格电费=</w:t>
      </w:r>
      <w:r>
        <w:rPr>
          <w:rFonts w:hint="eastAsia" w:ascii="仿宋_GB2312" w:hAnsi="仿宋_GB2312" w:eastAsia="仿宋_GB2312" w:cs="仿宋_GB2312"/>
          <w:color w:val="auto"/>
          <w:sz w:val="32"/>
          <w:szCs w:val="32"/>
          <w:highlight w:val="none"/>
          <w:lang w:val="en-US" w:eastAsia="zh-CN"/>
        </w:rPr>
        <w:t>零售用户</w:t>
      </w:r>
      <w:r>
        <w:rPr>
          <w:rFonts w:hint="eastAsia" w:ascii="仿宋_GB2312" w:hAnsi="仿宋_GB2312" w:eastAsia="仿宋_GB2312" w:cs="仿宋_GB2312"/>
          <w:color w:val="auto"/>
          <w:sz w:val="32"/>
          <w:szCs w:val="32"/>
          <w:highlight w:val="none"/>
        </w:rPr>
        <w:t>实际</w:t>
      </w:r>
      <w:r>
        <w:rPr>
          <w:rFonts w:hint="eastAsia" w:ascii="仿宋_GB2312" w:hAnsi="仿宋_GB2312" w:eastAsia="仿宋_GB2312" w:cs="仿宋_GB2312"/>
          <w:color w:val="auto"/>
          <w:sz w:val="32"/>
          <w:szCs w:val="32"/>
          <w:highlight w:val="none"/>
          <w:lang w:val="en-US" w:eastAsia="zh-CN"/>
        </w:rPr>
        <w:t>总</w:t>
      </w:r>
      <w:r>
        <w:rPr>
          <w:rFonts w:hint="eastAsia" w:ascii="仿宋_GB2312" w:hAnsi="仿宋_GB2312" w:eastAsia="仿宋_GB2312" w:cs="仿宋_GB2312"/>
          <w:color w:val="auto"/>
          <w:sz w:val="32"/>
          <w:szCs w:val="32"/>
          <w:highlight w:val="none"/>
        </w:rPr>
        <w:t>用电量×合同约定的电量比例×合同约定的固定价格。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市场联动电费=</w:t>
      </w:r>
      <w:r>
        <w:rPr>
          <w:rFonts w:hint="eastAsia" w:ascii="仿宋_GB2312" w:hAnsi="仿宋_GB2312" w:eastAsia="仿宋_GB2312" w:cs="仿宋_GB2312"/>
          <w:color w:val="auto"/>
          <w:sz w:val="32"/>
          <w:szCs w:val="32"/>
          <w:highlight w:val="none"/>
          <w:lang w:val="en-US" w:eastAsia="zh-CN"/>
        </w:rPr>
        <w:t>零售用户</w:t>
      </w:r>
      <w:r>
        <w:rPr>
          <w:rFonts w:hint="eastAsia" w:ascii="仿宋_GB2312" w:hAnsi="仿宋_GB2312" w:eastAsia="仿宋_GB2312" w:cs="仿宋_GB2312"/>
          <w:color w:val="auto"/>
          <w:sz w:val="32"/>
          <w:szCs w:val="32"/>
          <w:highlight w:val="none"/>
        </w:rPr>
        <w:t>实际</w:t>
      </w:r>
      <w:r>
        <w:rPr>
          <w:rFonts w:hint="eastAsia" w:ascii="仿宋_GB2312" w:hAnsi="仿宋_GB2312" w:eastAsia="仿宋_GB2312" w:cs="仿宋_GB2312"/>
          <w:color w:val="auto"/>
          <w:sz w:val="32"/>
          <w:szCs w:val="32"/>
          <w:highlight w:val="none"/>
          <w:lang w:val="en-US" w:eastAsia="zh-CN"/>
        </w:rPr>
        <w:t>总</w:t>
      </w:r>
      <w:r>
        <w:rPr>
          <w:rFonts w:hint="eastAsia" w:ascii="仿宋_GB2312" w:hAnsi="仿宋_GB2312" w:eastAsia="仿宋_GB2312" w:cs="仿宋_GB2312"/>
          <w:color w:val="auto"/>
          <w:sz w:val="32"/>
          <w:szCs w:val="32"/>
          <w:highlight w:val="none"/>
        </w:rPr>
        <w:t>用电量×合同约定的电量比例×合同约定的市场联动价格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8.1.3</w:t>
      </w:r>
      <w:r>
        <w:rPr>
          <w:rFonts w:hint="eastAsia" w:ascii="仿宋_GB2312" w:hAnsi="仿宋_GB2312" w:eastAsia="仿宋_GB2312" w:cs="仿宋_GB2312"/>
          <w:color w:val="auto"/>
          <w:sz w:val="32"/>
          <w:szCs w:val="32"/>
          <w:highlight w:val="none"/>
        </w:rPr>
        <w:t>比例分成</w:t>
      </w:r>
      <w:r>
        <w:rPr>
          <w:rFonts w:hint="eastAsia" w:ascii="仿宋_GB2312" w:hAnsi="仿宋_GB2312" w:eastAsia="仿宋_GB2312" w:cs="仿宋_GB2312"/>
          <w:color w:val="auto"/>
          <w:sz w:val="32"/>
          <w:szCs w:val="32"/>
          <w:highlight w:val="none"/>
          <w:lang w:val="en-US" w:eastAsia="zh-CN"/>
        </w:rPr>
        <w:t>套餐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零售</w:t>
      </w:r>
      <w:r>
        <w:rPr>
          <w:rFonts w:hint="eastAsia" w:ascii="仿宋_GB2312" w:hAnsi="仿宋_GB2312" w:eastAsia="仿宋_GB2312" w:cs="仿宋_GB2312"/>
          <w:color w:val="auto"/>
          <w:sz w:val="32"/>
          <w:szCs w:val="32"/>
          <w:highlight w:val="none"/>
          <w:lang w:val="en-US" w:eastAsia="zh-CN"/>
        </w:rPr>
        <w:t>交易</w:t>
      </w:r>
      <w:r>
        <w:rPr>
          <w:rFonts w:hint="eastAsia" w:ascii="仿宋_GB2312" w:hAnsi="仿宋_GB2312" w:eastAsia="仿宋_GB2312" w:cs="仿宋_GB2312"/>
          <w:color w:val="auto"/>
          <w:sz w:val="32"/>
          <w:szCs w:val="32"/>
          <w:highlight w:val="none"/>
        </w:rPr>
        <w:t>电费=</w:t>
      </w:r>
      <w:r>
        <w:rPr>
          <w:rFonts w:hint="eastAsia" w:ascii="仿宋_GB2312" w:hAnsi="仿宋_GB2312" w:eastAsia="仿宋_GB2312" w:cs="仿宋_GB2312"/>
          <w:color w:val="auto"/>
          <w:sz w:val="32"/>
          <w:szCs w:val="32"/>
          <w:highlight w:val="none"/>
          <w:lang w:val="en-US" w:eastAsia="zh-CN"/>
        </w:rPr>
        <w:t>零售用户</w:t>
      </w:r>
      <w:r>
        <w:rPr>
          <w:rFonts w:hint="eastAsia" w:ascii="仿宋_GB2312" w:hAnsi="仿宋_GB2312" w:eastAsia="仿宋_GB2312" w:cs="仿宋_GB2312"/>
          <w:color w:val="auto"/>
          <w:sz w:val="32"/>
          <w:szCs w:val="32"/>
          <w:highlight w:val="none"/>
        </w:rPr>
        <w:t>实际</w:t>
      </w:r>
      <w:r>
        <w:rPr>
          <w:rFonts w:hint="eastAsia" w:ascii="仿宋_GB2312" w:hAnsi="仿宋_GB2312" w:eastAsia="仿宋_GB2312" w:cs="仿宋_GB2312"/>
          <w:color w:val="auto"/>
          <w:sz w:val="32"/>
          <w:szCs w:val="32"/>
          <w:highlight w:val="none"/>
          <w:lang w:val="en-US" w:eastAsia="zh-CN"/>
        </w:rPr>
        <w:t>总</w:t>
      </w:r>
      <w:r>
        <w:rPr>
          <w:rFonts w:hint="eastAsia" w:ascii="仿宋_GB2312" w:hAnsi="仿宋_GB2312" w:eastAsia="仿宋_GB2312" w:cs="仿宋_GB2312"/>
          <w:color w:val="auto"/>
          <w:sz w:val="32"/>
          <w:szCs w:val="32"/>
          <w:highlight w:val="none"/>
        </w:rPr>
        <w:t>用电量×零售</w:t>
      </w:r>
      <w:r>
        <w:rPr>
          <w:rFonts w:hint="eastAsia" w:ascii="仿宋_GB2312" w:hAnsi="仿宋_GB2312" w:eastAsia="仿宋_GB2312" w:cs="仿宋_GB2312"/>
          <w:color w:val="auto"/>
          <w:sz w:val="32"/>
          <w:szCs w:val="32"/>
          <w:highlight w:val="none"/>
          <w:lang w:val="en-US" w:eastAsia="zh-CN"/>
        </w:rPr>
        <w:t>电能量</w:t>
      </w:r>
      <w:r>
        <w:rPr>
          <w:rFonts w:hint="eastAsia" w:ascii="仿宋_GB2312" w:hAnsi="仿宋_GB2312" w:eastAsia="仿宋_GB2312" w:cs="仿宋_GB2312"/>
          <w:color w:val="auto"/>
          <w:sz w:val="32"/>
          <w:szCs w:val="32"/>
          <w:highlight w:val="none"/>
        </w:rPr>
        <w:t>电价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零售</w:t>
      </w:r>
      <w:r>
        <w:rPr>
          <w:rFonts w:hint="eastAsia" w:ascii="仿宋_GB2312" w:hAnsi="仿宋_GB2312" w:eastAsia="仿宋_GB2312" w:cs="仿宋_GB2312"/>
          <w:color w:val="auto"/>
          <w:sz w:val="32"/>
          <w:szCs w:val="32"/>
          <w:highlight w:val="none"/>
          <w:lang w:val="en-US" w:eastAsia="zh-CN"/>
        </w:rPr>
        <w:t>交易</w:t>
      </w:r>
      <w:r>
        <w:rPr>
          <w:rFonts w:hint="eastAsia" w:ascii="仿宋_GB2312" w:hAnsi="仿宋_GB2312" w:eastAsia="仿宋_GB2312" w:cs="仿宋_GB2312"/>
          <w:color w:val="auto"/>
          <w:sz w:val="32"/>
          <w:szCs w:val="32"/>
          <w:highlight w:val="none"/>
        </w:rPr>
        <w:t>电价=交易基准价+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市场联动价格-交易基准价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×甲方分成比例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8.1.4</w:t>
      </w:r>
      <w:r>
        <w:rPr>
          <w:rFonts w:hint="eastAsia" w:ascii="仿宋_GB2312" w:hAnsi="仿宋_GB2312" w:eastAsia="仿宋_GB2312" w:cs="仿宋_GB2312"/>
          <w:color w:val="auto"/>
          <w:sz w:val="32"/>
          <w:szCs w:val="32"/>
          <w:highlight w:val="none"/>
        </w:rPr>
        <w:t>固定价格+服务费</w:t>
      </w:r>
      <w:r>
        <w:rPr>
          <w:rFonts w:hint="eastAsia" w:ascii="仿宋_GB2312" w:hAnsi="仿宋_GB2312" w:eastAsia="仿宋_GB2312" w:cs="仿宋_GB2312"/>
          <w:color w:val="auto"/>
          <w:sz w:val="32"/>
          <w:szCs w:val="32"/>
          <w:highlight w:val="none"/>
          <w:lang w:val="en-US" w:eastAsia="zh-CN"/>
        </w:rPr>
        <w:t>套餐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零售交易电费=</w:t>
      </w:r>
      <w:r>
        <w:rPr>
          <w:rFonts w:hint="eastAsia" w:ascii="仿宋_GB2312" w:hAnsi="仿宋_GB2312" w:eastAsia="仿宋_GB2312" w:cs="仿宋_GB2312"/>
          <w:color w:val="auto"/>
          <w:sz w:val="32"/>
          <w:szCs w:val="32"/>
          <w:highlight w:val="none"/>
          <w:lang w:val="en-US" w:eastAsia="zh-CN"/>
        </w:rPr>
        <w:t>零售用户</w:t>
      </w:r>
      <w:r>
        <w:rPr>
          <w:rFonts w:hint="eastAsia" w:ascii="仿宋_GB2312" w:hAnsi="仿宋_GB2312" w:eastAsia="仿宋_GB2312" w:cs="仿宋_GB2312"/>
          <w:color w:val="auto"/>
          <w:sz w:val="32"/>
          <w:szCs w:val="32"/>
          <w:highlight w:val="none"/>
        </w:rPr>
        <w:t>实际</w:t>
      </w:r>
      <w:r>
        <w:rPr>
          <w:rFonts w:hint="eastAsia" w:ascii="仿宋_GB2312" w:hAnsi="仿宋_GB2312" w:eastAsia="仿宋_GB2312" w:cs="仿宋_GB2312"/>
          <w:color w:val="auto"/>
          <w:sz w:val="32"/>
          <w:szCs w:val="32"/>
          <w:highlight w:val="none"/>
          <w:lang w:val="en-US" w:eastAsia="zh-CN"/>
        </w:rPr>
        <w:t>总</w:t>
      </w:r>
      <w:r>
        <w:rPr>
          <w:rFonts w:hint="eastAsia" w:ascii="仿宋_GB2312" w:hAnsi="仿宋_GB2312" w:eastAsia="仿宋_GB2312" w:cs="仿宋_GB2312"/>
          <w:color w:val="auto"/>
          <w:sz w:val="32"/>
          <w:szCs w:val="32"/>
          <w:highlight w:val="none"/>
        </w:rPr>
        <w:t>用电量×合同约定的固定价格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服务费=</w:t>
      </w:r>
      <w:r>
        <w:rPr>
          <w:rFonts w:hint="eastAsia" w:ascii="仿宋_GB2312" w:hAnsi="仿宋_GB2312" w:eastAsia="仿宋_GB2312" w:cs="仿宋_GB2312"/>
          <w:color w:val="auto"/>
          <w:sz w:val="32"/>
          <w:szCs w:val="32"/>
          <w:highlight w:val="none"/>
          <w:lang w:val="en-US" w:eastAsia="zh-CN"/>
        </w:rPr>
        <w:t>零售用户</w:t>
      </w:r>
      <w:r>
        <w:rPr>
          <w:rFonts w:hint="eastAsia" w:ascii="仿宋_GB2312" w:hAnsi="仿宋_GB2312" w:eastAsia="仿宋_GB2312" w:cs="仿宋_GB2312"/>
          <w:color w:val="auto"/>
          <w:sz w:val="32"/>
          <w:szCs w:val="32"/>
          <w:highlight w:val="none"/>
        </w:rPr>
        <w:t>实际</w:t>
      </w:r>
      <w:r>
        <w:rPr>
          <w:rFonts w:hint="eastAsia" w:ascii="仿宋_GB2312" w:hAnsi="仿宋_GB2312" w:eastAsia="仿宋_GB2312" w:cs="仿宋_GB2312"/>
          <w:color w:val="auto"/>
          <w:sz w:val="32"/>
          <w:szCs w:val="32"/>
          <w:highlight w:val="none"/>
          <w:lang w:val="en-US" w:eastAsia="zh-CN"/>
        </w:rPr>
        <w:t>总</w:t>
      </w:r>
      <w:r>
        <w:rPr>
          <w:rFonts w:hint="eastAsia" w:ascii="仿宋_GB2312" w:hAnsi="仿宋_GB2312" w:eastAsia="仿宋_GB2312" w:cs="仿宋_GB2312"/>
          <w:color w:val="auto"/>
          <w:sz w:val="32"/>
          <w:szCs w:val="32"/>
          <w:highlight w:val="none"/>
        </w:rPr>
        <w:t>用电量×服务费价格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服务费价格：双方约定按月收取度电服务费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8</w:t>
      </w:r>
      <w:r>
        <w:rPr>
          <w:rStyle w:val="12"/>
          <w:rFonts w:ascii="仿宋_GB2312" w:hAnsi="仿宋_GB2312" w:eastAsia="仿宋_GB2312" w:cs="仿宋_GB2312"/>
          <w:b w:val="0"/>
          <w:bCs/>
          <w:color w:val="auto"/>
          <w:sz w:val="32"/>
          <w:szCs w:val="32"/>
          <w:highlight w:val="none"/>
        </w:rPr>
        <w:t>.</w:t>
      </w:r>
      <w:r>
        <w:rPr>
          <w:rStyle w:val="12"/>
          <w:rFonts w:hint="eastAsia" w:ascii="仿宋_GB2312" w:hAnsi="仿宋_GB2312" w:eastAsia="仿宋_GB2312" w:cs="仿宋_GB2312"/>
          <w:b w:val="0"/>
          <w:bCs/>
          <w:color w:val="auto"/>
          <w:sz w:val="32"/>
          <w:szCs w:val="32"/>
          <w:highlight w:val="none"/>
          <w:lang w:val="en-US" w:eastAsia="zh-CN"/>
        </w:rPr>
        <w:t>1.5峰谷浮动电费结算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12"/>
          <w:rFonts w:hint="default" w:ascii="仿宋_GB2312" w:hAnsi="仿宋_GB2312" w:eastAsia="仿宋_GB2312" w:cs="仿宋_GB2312"/>
          <w:b w:val="0"/>
          <w:bCs/>
          <w:color w:val="auto"/>
          <w:sz w:val="32"/>
          <w:szCs w:val="32"/>
          <w:highlight w:val="none"/>
          <w:lang w:val="en-US" w:eastAsia="zh-CN"/>
        </w:rPr>
      </w:pPr>
      <w:r>
        <w:rPr>
          <w:rStyle w:val="12"/>
          <w:rFonts w:hint="default" w:ascii="仿宋_GB2312" w:hAnsi="仿宋_GB2312" w:eastAsia="仿宋_GB2312" w:cs="仿宋_GB2312"/>
          <w:b w:val="0"/>
          <w:bCs/>
          <w:color w:val="auto"/>
          <w:sz w:val="32"/>
          <w:szCs w:val="32"/>
          <w:highlight w:val="none"/>
          <w:lang w:val="en-US" w:eastAsia="zh-CN"/>
        </w:rPr>
        <w:t>执行峰谷分时电价政策的</w:t>
      </w:r>
      <w:r>
        <w:rPr>
          <w:rStyle w:val="12"/>
          <w:rFonts w:hint="eastAsia" w:ascii="仿宋_GB2312" w:hAnsi="仿宋_GB2312" w:eastAsia="仿宋_GB2312" w:cs="仿宋_GB2312"/>
          <w:b w:val="0"/>
          <w:bCs/>
          <w:color w:val="auto"/>
          <w:sz w:val="32"/>
          <w:szCs w:val="32"/>
          <w:highlight w:val="none"/>
          <w:lang w:val="en-US" w:eastAsia="zh-CN"/>
        </w:rPr>
        <w:t>零售</w:t>
      </w:r>
      <w:r>
        <w:rPr>
          <w:rStyle w:val="12"/>
          <w:rFonts w:hint="default" w:ascii="仿宋_GB2312" w:hAnsi="仿宋_GB2312" w:eastAsia="仿宋_GB2312" w:cs="仿宋_GB2312"/>
          <w:b w:val="0"/>
          <w:bCs/>
          <w:color w:val="auto"/>
          <w:sz w:val="32"/>
          <w:szCs w:val="32"/>
          <w:highlight w:val="none"/>
          <w:lang w:val="en-US" w:eastAsia="zh-CN"/>
        </w:rPr>
        <w:t>用户实施峰谷分时段结算</w:t>
      </w:r>
      <w:r>
        <w:rPr>
          <w:rStyle w:val="12"/>
          <w:rFonts w:hint="eastAsia" w:ascii="仿宋_GB2312" w:hAnsi="仿宋_GB2312" w:eastAsia="仿宋_GB2312" w:cs="仿宋_GB2312"/>
          <w:b w:val="0"/>
          <w:bCs/>
          <w:color w:val="auto"/>
          <w:sz w:val="32"/>
          <w:szCs w:val="32"/>
          <w:highlight w:val="none"/>
          <w:lang w:val="en-US" w:eastAsia="zh-CN"/>
        </w:rPr>
        <w:t>，具体算法按《海南电力市场结算实施细则》执行。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8.2</w:t>
      </w:r>
      <w:r>
        <w:rPr>
          <w:rFonts w:hint="eastAsia" w:ascii="仿宋_GB2312" w:hAnsi="仿宋_GB2312" w:eastAsia="仿宋_GB2312" w:cs="仿宋_GB2312"/>
          <w:b/>
          <w:bCs/>
          <w:color w:val="auto"/>
          <w:sz w:val="32"/>
          <w:szCs w:val="32"/>
          <w:highlight w:val="none"/>
        </w:rPr>
        <w:t>绿证价格费用</w:t>
      </w:r>
      <w:r>
        <w:rPr>
          <w:rFonts w:hint="eastAsia" w:ascii="仿宋_GB2312" w:hAnsi="仿宋_GB2312" w:eastAsia="仿宋_GB2312" w:cs="仿宋_GB2312"/>
          <w:b/>
          <w:bCs/>
          <w:color w:val="auto"/>
          <w:sz w:val="32"/>
          <w:szCs w:val="32"/>
          <w:highlight w:val="none"/>
          <w:lang w:val="en-US" w:eastAsia="zh-CN"/>
        </w:rPr>
        <w:t>结算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绿证价格费用</w:t>
      </w:r>
      <w:r>
        <w:rPr>
          <w:rFonts w:hint="eastAsia" w:ascii="仿宋_GB2312" w:hAnsi="仿宋_GB2312" w:eastAsia="仿宋_GB2312" w:cs="仿宋_GB2312"/>
          <w:color w:val="auto"/>
          <w:sz w:val="32"/>
          <w:szCs w:val="32"/>
          <w:highlight w:val="none"/>
          <w:lang w:val="en-US" w:eastAsia="zh-CN"/>
        </w:rPr>
        <w:t>结算</w:t>
      </w:r>
      <w:r>
        <w:rPr>
          <w:rFonts w:hint="eastAsia" w:ascii="仿宋_GB2312" w:hAnsi="仿宋_GB2312" w:eastAsia="仿宋_GB2312" w:cs="仿宋_GB2312"/>
          <w:color w:val="auto"/>
          <w:sz w:val="32"/>
          <w:szCs w:val="32"/>
          <w:highlight w:val="none"/>
        </w:rPr>
        <w:t>按照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海南省绿色电力交易实施细则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执行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Style w:val="12"/>
          <w:rFonts w:hint="eastAsia" w:ascii="仿宋_GB2312" w:hAnsi="仿宋_GB2312" w:eastAsia="仿宋_GB2312" w:cs="仿宋_GB2312"/>
          <w:color w:val="auto"/>
          <w:sz w:val="32"/>
          <w:szCs w:val="32"/>
          <w:highlight w:val="none"/>
          <w:lang w:val="en-US" w:eastAsia="zh-CN"/>
        </w:rPr>
      </w:pPr>
      <w:r>
        <w:rPr>
          <w:rStyle w:val="12"/>
          <w:rFonts w:hint="eastAsia" w:ascii="仿宋_GB2312" w:hAnsi="仿宋_GB2312" w:eastAsia="仿宋_GB2312" w:cs="仿宋_GB2312"/>
          <w:color w:val="auto"/>
          <w:sz w:val="32"/>
          <w:szCs w:val="32"/>
          <w:highlight w:val="none"/>
          <w:lang w:val="en-US" w:eastAsia="zh-CN"/>
        </w:rPr>
        <w:t>8.3电力需求响应费用结算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12"/>
          <w:rFonts w:hint="default"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零售用户电力需求响应费用结算按照省能源主管部门印发的电力需求响应实施方案执行。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Style w:val="12"/>
          <w:rFonts w:ascii="仿宋_GB2312" w:hAnsi="仿宋_GB2312" w:eastAsia="仿宋_GB2312" w:cs="仿宋_GB2312"/>
          <w:color w:val="auto"/>
          <w:sz w:val="32"/>
          <w:szCs w:val="32"/>
          <w:highlight w:val="none"/>
        </w:rPr>
      </w:pPr>
      <w:r>
        <w:rPr>
          <w:rStyle w:val="12"/>
          <w:rFonts w:hint="eastAsia" w:ascii="仿宋_GB2312" w:hAnsi="仿宋_GB2312" w:eastAsia="仿宋_GB2312" w:cs="仿宋_GB2312"/>
          <w:color w:val="auto"/>
          <w:sz w:val="32"/>
          <w:szCs w:val="32"/>
          <w:highlight w:val="none"/>
          <w:lang w:val="en-US" w:eastAsia="zh-CN"/>
        </w:rPr>
        <w:t>8.4</w:t>
      </w:r>
      <w:r>
        <w:rPr>
          <w:rStyle w:val="12"/>
          <w:rFonts w:ascii="仿宋_GB2312" w:hAnsi="仿宋_GB2312" w:eastAsia="仿宋_GB2312" w:cs="仿宋_GB2312"/>
          <w:color w:val="auto"/>
          <w:sz w:val="32"/>
          <w:szCs w:val="32"/>
          <w:highlight w:val="none"/>
        </w:rPr>
        <w:t>售电公司收益结算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ascii="仿宋_GB2312" w:hAnsi="仿宋_GB2312" w:eastAsia="仿宋_GB2312" w:cs="仿宋_GB2312"/>
          <w:b w:val="0"/>
          <w:bCs/>
          <w:color w:val="auto"/>
          <w:sz w:val="32"/>
          <w:szCs w:val="32"/>
          <w:highlight w:val="none"/>
        </w:rPr>
        <w:t>售电公司在零售市场中应收取的电费总额，减去售电公司在批发市场应支付的电费总额，作为售电公司的收益。</w:t>
      </w:r>
      <w:r>
        <w:rPr>
          <w:rStyle w:val="12"/>
          <w:rFonts w:hint="eastAsia" w:ascii="仿宋_GB2312" w:hAnsi="仿宋_GB2312" w:eastAsia="仿宋_GB2312" w:cs="仿宋_GB2312"/>
          <w:b w:val="0"/>
          <w:bCs/>
          <w:color w:val="auto"/>
          <w:sz w:val="32"/>
          <w:szCs w:val="32"/>
          <w:highlight w:val="none"/>
          <w:lang w:val="en-US" w:eastAsia="zh-CN"/>
        </w:rPr>
        <w:t>具体算法按《</w:t>
      </w:r>
      <w:r>
        <w:rPr>
          <w:rStyle w:val="12"/>
          <w:rFonts w:ascii="仿宋_GB2312" w:hAnsi="仿宋_GB2312" w:eastAsia="仿宋_GB2312" w:cs="仿宋_GB2312"/>
          <w:b w:val="0"/>
          <w:bCs/>
          <w:color w:val="auto"/>
          <w:sz w:val="32"/>
          <w:szCs w:val="32"/>
          <w:highlight w:val="none"/>
        </w:rPr>
        <w:t>海南电力市场结算实施细则</w:t>
      </w:r>
      <w:r>
        <w:rPr>
          <w:rStyle w:val="12"/>
          <w:rFonts w:hint="eastAsia" w:ascii="仿宋_GB2312" w:hAnsi="仿宋_GB2312" w:eastAsia="仿宋_GB2312" w:cs="仿宋_GB2312"/>
          <w:b w:val="0"/>
          <w:bCs/>
          <w:color w:val="auto"/>
          <w:sz w:val="32"/>
          <w:szCs w:val="32"/>
          <w:highlight w:val="none"/>
          <w:lang w:val="en-US" w:eastAsia="zh-CN"/>
        </w:rPr>
        <w:t>》执行。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9.特殊情况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2"/>
          <w:rFonts w:hint="eastAsia" w:ascii="仿宋_GB2312" w:hAnsi="仿宋_GB2312" w:eastAsia="仿宋_GB2312" w:cs="仿宋_GB2312"/>
          <w:b w:val="0"/>
          <w:bCs w:val="0"/>
          <w:i w:val="0"/>
          <w:iCs w:val="0"/>
          <w:caps w:val="0"/>
          <w:color w:val="auto"/>
          <w:spacing w:val="0"/>
          <w:sz w:val="32"/>
          <w:szCs w:val="32"/>
          <w:highlight w:val="none"/>
        </w:rPr>
      </w:pP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9</w:t>
      </w:r>
      <w:r>
        <w:rPr>
          <w:rStyle w:val="12"/>
          <w:rFonts w:hint="eastAsia" w:ascii="仿宋_GB2312" w:hAnsi="仿宋_GB2312" w:eastAsia="仿宋_GB2312" w:cs="仿宋_GB2312"/>
          <w:b w:val="0"/>
          <w:bCs w:val="0"/>
          <w:i w:val="0"/>
          <w:iCs w:val="0"/>
          <w:caps w:val="0"/>
          <w:color w:val="auto"/>
          <w:spacing w:val="0"/>
          <w:sz w:val="32"/>
          <w:szCs w:val="32"/>
          <w:highlight w:val="none"/>
        </w:rPr>
        <w:t>.1若因</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交易平台故障（密码无法重置的情况除外）</w:t>
      </w:r>
      <w:r>
        <w:rPr>
          <w:rStyle w:val="12"/>
          <w:rFonts w:hint="eastAsia" w:ascii="仿宋_GB2312" w:hAnsi="仿宋_GB2312" w:eastAsia="仿宋_GB2312" w:cs="仿宋_GB2312"/>
          <w:b w:val="0"/>
          <w:bCs w:val="0"/>
          <w:i w:val="0"/>
          <w:iCs w:val="0"/>
          <w:caps w:val="0"/>
          <w:color w:val="auto"/>
          <w:spacing w:val="0"/>
          <w:sz w:val="32"/>
          <w:szCs w:val="32"/>
          <w:highlight w:val="none"/>
        </w:rPr>
        <w:t>导致电力用户无法</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按期</w:t>
      </w:r>
      <w:r>
        <w:rPr>
          <w:rStyle w:val="12"/>
          <w:rFonts w:hint="eastAsia" w:ascii="仿宋_GB2312" w:hAnsi="仿宋_GB2312" w:eastAsia="仿宋_GB2312" w:cs="仿宋_GB2312"/>
          <w:b w:val="0"/>
          <w:bCs w:val="0"/>
          <w:i w:val="0"/>
          <w:iCs w:val="0"/>
          <w:caps w:val="0"/>
          <w:color w:val="auto"/>
          <w:spacing w:val="0"/>
          <w:sz w:val="32"/>
          <w:szCs w:val="32"/>
          <w:highlight w:val="none"/>
        </w:rPr>
        <w:t>在交易系统完成零售合同签订、变更和解除操作，用户和售电公司应</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在两个自然日内</w:t>
      </w:r>
      <w:r>
        <w:rPr>
          <w:rStyle w:val="12"/>
          <w:rFonts w:hint="eastAsia" w:ascii="仿宋_GB2312" w:hAnsi="仿宋_GB2312" w:eastAsia="仿宋_GB2312" w:cs="仿宋_GB2312"/>
          <w:b w:val="0"/>
          <w:bCs w:val="0"/>
          <w:i w:val="0"/>
          <w:iCs w:val="0"/>
          <w:caps w:val="0"/>
          <w:color w:val="auto"/>
          <w:spacing w:val="0"/>
          <w:sz w:val="32"/>
          <w:szCs w:val="32"/>
          <w:highlight w:val="none"/>
        </w:rPr>
        <w:t>向交易中心提交特殊情况登记申请，反馈无法完成线上流程等情况说明，</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并</w:t>
      </w:r>
      <w:r>
        <w:rPr>
          <w:rStyle w:val="12"/>
          <w:rFonts w:hint="eastAsia" w:ascii="仿宋_GB2312" w:hAnsi="仿宋_GB2312" w:eastAsia="仿宋_GB2312" w:cs="仿宋_GB2312"/>
          <w:b w:val="0"/>
          <w:bCs w:val="0"/>
          <w:i w:val="0"/>
          <w:iCs w:val="0"/>
          <w:caps w:val="0"/>
          <w:color w:val="auto"/>
          <w:spacing w:val="0"/>
          <w:sz w:val="32"/>
          <w:szCs w:val="32"/>
          <w:highlight w:val="none"/>
        </w:rPr>
        <w:t>提供双方按有效零售合同范本签订的纸质零售合同等证明资料</w:t>
      </w:r>
      <w:r>
        <w:rPr>
          <w:rStyle w:val="12"/>
          <w:rFonts w:hint="eastAsia" w:ascii="仿宋_GB2312" w:hAnsi="仿宋_GB2312" w:eastAsia="仿宋_GB2312" w:cs="仿宋_GB2312"/>
          <w:b w:val="0"/>
          <w:bCs w:val="0"/>
          <w:i w:val="0"/>
          <w:iCs w:val="0"/>
          <w:caps w:val="0"/>
          <w:color w:val="auto"/>
          <w:spacing w:val="0"/>
          <w:sz w:val="32"/>
          <w:szCs w:val="32"/>
          <w:highlight w:val="none"/>
          <w:lang w:eastAsia="zh-CN"/>
        </w:rPr>
        <w:t>，</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逾期将按照交易平台登记备案的零售合同信息开展结算</w:t>
      </w:r>
      <w:r>
        <w:rPr>
          <w:rStyle w:val="12"/>
          <w:rFonts w:hint="eastAsia" w:ascii="仿宋_GB2312" w:hAnsi="仿宋_GB2312" w:eastAsia="仿宋_GB2312" w:cs="仿宋_GB2312"/>
          <w:b w:val="0"/>
          <w:bCs w:val="0"/>
          <w:i w:val="0"/>
          <w:iCs w:val="0"/>
          <w:caps w:val="0"/>
          <w:color w:val="auto"/>
          <w:spacing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2"/>
          <w:rFonts w:hint="eastAsia" w:ascii="仿宋_GB2312" w:hAnsi="仿宋_GB2312" w:eastAsia="仿宋_GB2312" w:cs="仿宋_GB2312"/>
          <w:b w:val="0"/>
          <w:bCs w:val="0"/>
          <w:i w:val="0"/>
          <w:iCs w:val="0"/>
          <w:caps w:val="0"/>
          <w:color w:val="auto"/>
          <w:spacing w:val="0"/>
          <w:sz w:val="32"/>
          <w:szCs w:val="32"/>
          <w:highlight w:val="none"/>
        </w:rPr>
      </w:pP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9</w:t>
      </w:r>
      <w:r>
        <w:rPr>
          <w:rStyle w:val="12"/>
          <w:rFonts w:hint="eastAsia" w:ascii="仿宋_GB2312" w:hAnsi="仿宋_GB2312" w:eastAsia="仿宋_GB2312" w:cs="仿宋_GB2312"/>
          <w:b w:val="0"/>
          <w:bCs w:val="0"/>
          <w:i w:val="0"/>
          <w:iCs w:val="0"/>
          <w:caps w:val="0"/>
          <w:color w:val="auto"/>
          <w:spacing w:val="0"/>
          <w:sz w:val="32"/>
          <w:szCs w:val="32"/>
          <w:highlight w:val="none"/>
        </w:rPr>
        <w:t>.2收到合同登记申请及完整资料后，交易中心在3个工作日内，依据提供的原因说明、纸质合同等资料，决定是否在交易</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平台</w:t>
      </w:r>
      <w:r>
        <w:rPr>
          <w:rStyle w:val="12"/>
          <w:rFonts w:hint="eastAsia" w:ascii="仿宋_GB2312" w:hAnsi="仿宋_GB2312" w:eastAsia="仿宋_GB2312" w:cs="仿宋_GB2312"/>
          <w:b w:val="0"/>
          <w:bCs w:val="0"/>
          <w:i w:val="0"/>
          <w:iCs w:val="0"/>
          <w:caps w:val="0"/>
          <w:color w:val="auto"/>
          <w:spacing w:val="0"/>
          <w:sz w:val="32"/>
          <w:szCs w:val="32"/>
          <w:highlight w:val="none"/>
        </w:rPr>
        <w:t>登记双方签订的纸质零售合同，明确零售关系</w:t>
      </w:r>
      <w:r>
        <w:rPr>
          <w:rStyle w:val="12"/>
          <w:rFonts w:hint="eastAsia" w:ascii="仿宋_GB2312" w:hAnsi="仿宋_GB2312" w:eastAsia="仿宋_GB2312" w:cs="仿宋_GB2312"/>
          <w:b w:val="0"/>
          <w:bCs w:val="0"/>
          <w:i w:val="0"/>
          <w:iCs w:val="0"/>
          <w:caps w:val="0"/>
          <w:color w:val="auto"/>
          <w:spacing w:val="0"/>
          <w:sz w:val="32"/>
          <w:szCs w:val="32"/>
          <w:highlight w:val="none"/>
          <w:lang w:eastAsia="zh-CN"/>
        </w:rPr>
        <w:t>、</w:t>
      </w:r>
      <w:r>
        <w:rPr>
          <w:rStyle w:val="12"/>
          <w:rFonts w:hint="eastAsia" w:ascii="仿宋_GB2312" w:hAnsi="仿宋_GB2312" w:eastAsia="仿宋_GB2312" w:cs="仿宋_GB2312"/>
          <w:b w:val="0"/>
          <w:bCs w:val="0"/>
          <w:i w:val="0"/>
          <w:iCs w:val="0"/>
          <w:caps w:val="0"/>
          <w:color w:val="auto"/>
          <w:spacing w:val="0"/>
          <w:sz w:val="32"/>
          <w:szCs w:val="32"/>
          <w:highlight w:val="none"/>
        </w:rPr>
        <w:t>固化零售结算模式</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及价格等信息</w:t>
      </w:r>
      <w:r>
        <w:rPr>
          <w:rStyle w:val="12"/>
          <w:rFonts w:hint="eastAsia" w:ascii="仿宋_GB2312" w:hAnsi="仿宋_GB2312" w:eastAsia="仿宋_GB2312" w:cs="仿宋_GB2312"/>
          <w:b w:val="0"/>
          <w:bCs w:val="0"/>
          <w:i w:val="0"/>
          <w:iCs w:val="0"/>
          <w:caps w:val="0"/>
          <w:color w:val="auto"/>
          <w:spacing w:val="0"/>
          <w:sz w:val="32"/>
          <w:szCs w:val="32"/>
          <w:highlight w:val="none"/>
        </w:rPr>
        <w:t>，并及时将合同登记情况告知合同双方。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2"/>
          <w:rFonts w:hint="eastAsia" w:ascii="仿宋_GB2312" w:hAnsi="仿宋_GB2312" w:eastAsia="仿宋_GB2312" w:cs="仿宋_GB2312"/>
          <w:b w:val="0"/>
          <w:bCs w:val="0"/>
          <w:i w:val="0"/>
          <w:iCs w:val="0"/>
          <w:caps w:val="0"/>
          <w:color w:val="auto"/>
          <w:spacing w:val="0"/>
          <w:sz w:val="32"/>
          <w:szCs w:val="32"/>
          <w:highlight w:val="none"/>
          <w:lang w:eastAsia="zh-CN"/>
        </w:rPr>
      </w:pP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9</w:t>
      </w:r>
      <w:r>
        <w:rPr>
          <w:rStyle w:val="12"/>
          <w:rFonts w:hint="eastAsia" w:ascii="仿宋_GB2312" w:hAnsi="仿宋_GB2312" w:eastAsia="仿宋_GB2312" w:cs="仿宋_GB2312"/>
          <w:b w:val="0"/>
          <w:bCs w:val="0"/>
          <w:i w:val="0"/>
          <w:iCs w:val="0"/>
          <w:caps w:val="0"/>
          <w:color w:val="auto"/>
          <w:spacing w:val="0"/>
          <w:sz w:val="32"/>
          <w:szCs w:val="32"/>
          <w:highlight w:val="none"/>
        </w:rPr>
        <w:t>.3对于市场主体提交的特殊</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情况</w:t>
      </w:r>
      <w:r>
        <w:rPr>
          <w:rStyle w:val="12"/>
          <w:rFonts w:hint="eastAsia" w:ascii="仿宋_GB2312" w:hAnsi="仿宋_GB2312" w:eastAsia="仿宋_GB2312" w:cs="仿宋_GB2312"/>
          <w:b w:val="0"/>
          <w:bCs w:val="0"/>
          <w:i w:val="0"/>
          <w:iCs w:val="0"/>
          <w:caps w:val="0"/>
          <w:color w:val="auto"/>
          <w:spacing w:val="0"/>
          <w:sz w:val="32"/>
          <w:szCs w:val="32"/>
          <w:highlight w:val="none"/>
        </w:rPr>
        <w:t>登记申请，如存在理由不充足、资料不齐全、纸质合同版本及参数错误等情况，交易中心不作合同登记</w:t>
      </w:r>
      <w:r>
        <w:rPr>
          <w:rStyle w:val="12"/>
          <w:rFonts w:hint="eastAsia" w:ascii="仿宋_GB2312" w:hAnsi="仿宋_GB2312" w:eastAsia="仿宋_GB2312" w:cs="仿宋_GB2312"/>
          <w:b w:val="0"/>
          <w:bCs w:val="0"/>
          <w:i w:val="0"/>
          <w:iCs w:val="0"/>
          <w:caps w:val="0"/>
          <w:color w:val="auto"/>
          <w:spacing w:val="0"/>
          <w:sz w:val="32"/>
          <w:szCs w:val="32"/>
          <w:highlight w:val="none"/>
          <w:lang w:eastAsia="zh-CN"/>
        </w:rPr>
        <w:t>，</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合同双方</w:t>
      </w:r>
      <w:r>
        <w:rPr>
          <w:rStyle w:val="12"/>
          <w:rFonts w:hint="eastAsia" w:ascii="仿宋_GB2312" w:hAnsi="仿宋_GB2312" w:eastAsia="仿宋_GB2312" w:cs="仿宋_GB2312"/>
          <w:b w:val="0"/>
          <w:bCs w:val="0"/>
          <w:i w:val="0"/>
          <w:iCs w:val="0"/>
          <w:caps w:val="0"/>
          <w:color w:val="auto"/>
          <w:spacing w:val="0"/>
          <w:sz w:val="32"/>
          <w:szCs w:val="32"/>
          <w:highlight w:val="none"/>
        </w:rPr>
        <w:t>应按照</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本细则</w:t>
      </w:r>
      <w:r>
        <w:rPr>
          <w:rStyle w:val="12"/>
          <w:rFonts w:hint="eastAsia" w:ascii="仿宋_GB2312" w:hAnsi="仿宋_GB2312" w:eastAsia="仿宋_GB2312" w:cs="仿宋_GB2312"/>
          <w:b w:val="0"/>
          <w:bCs w:val="0"/>
          <w:i w:val="0"/>
          <w:iCs w:val="0"/>
          <w:caps w:val="0"/>
          <w:color w:val="auto"/>
          <w:spacing w:val="0"/>
          <w:sz w:val="32"/>
          <w:szCs w:val="32"/>
          <w:highlight w:val="none"/>
        </w:rPr>
        <w:t>有关流程规定</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重新</w:t>
      </w:r>
      <w:r>
        <w:rPr>
          <w:rStyle w:val="12"/>
          <w:rFonts w:hint="eastAsia" w:ascii="仿宋_GB2312" w:hAnsi="仿宋_GB2312" w:eastAsia="仿宋_GB2312" w:cs="仿宋_GB2312"/>
          <w:b w:val="0"/>
          <w:bCs w:val="0"/>
          <w:i w:val="0"/>
          <w:iCs w:val="0"/>
          <w:caps w:val="0"/>
          <w:color w:val="auto"/>
          <w:spacing w:val="0"/>
          <w:sz w:val="32"/>
          <w:szCs w:val="32"/>
          <w:highlight w:val="none"/>
        </w:rPr>
        <w:t>在交易</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平台</w:t>
      </w:r>
      <w:r>
        <w:rPr>
          <w:rStyle w:val="12"/>
          <w:rFonts w:hint="eastAsia" w:ascii="仿宋_GB2312" w:hAnsi="仿宋_GB2312" w:eastAsia="仿宋_GB2312" w:cs="仿宋_GB2312"/>
          <w:b w:val="0"/>
          <w:bCs w:val="0"/>
          <w:i w:val="0"/>
          <w:iCs w:val="0"/>
          <w:caps w:val="0"/>
          <w:color w:val="auto"/>
          <w:spacing w:val="0"/>
          <w:sz w:val="32"/>
          <w:szCs w:val="32"/>
          <w:highlight w:val="none"/>
        </w:rPr>
        <w:t>完成零售交易和合同签订</w:t>
      </w:r>
      <w:r>
        <w:rPr>
          <w:rStyle w:val="12"/>
          <w:rFonts w:hint="eastAsia" w:ascii="仿宋_GB2312" w:hAnsi="仿宋_GB2312" w:eastAsia="仿宋_GB2312" w:cs="仿宋_GB2312"/>
          <w:b w:val="0"/>
          <w:bCs w:val="0"/>
          <w:i w:val="0"/>
          <w:iCs w:val="0"/>
          <w:caps w:val="0"/>
          <w:color w:val="auto"/>
          <w:spacing w:val="0"/>
          <w:sz w:val="32"/>
          <w:szCs w:val="32"/>
          <w:highlight w:val="none"/>
          <w:lang w:eastAsia="zh-CN"/>
        </w:rPr>
        <w:t>、</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变更和解除</w:t>
      </w:r>
      <w:r>
        <w:rPr>
          <w:rStyle w:val="12"/>
          <w:rFonts w:hint="eastAsia" w:ascii="仿宋_GB2312" w:hAnsi="仿宋_GB2312" w:eastAsia="仿宋_GB2312" w:cs="仿宋_GB2312"/>
          <w:b w:val="0"/>
          <w:bCs w:val="0"/>
          <w:i w:val="0"/>
          <w:iCs w:val="0"/>
          <w:caps w:val="0"/>
          <w:color w:val="auto"/>
          <w:spacing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2"/>
          <w:rFonts w:hint="default"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9</w:t>
      </w:r>
      <w:r>
        <w:rPr>
          <w:rStyle w:val="12"/>
          <w:rFonts w:hint="eastAsia" w:ascii="仿宋_GB2312" w:hAnsi="仿宋_GB2312" w:eastAsia="仿宋_GB2312" w:cs="仿宋_GB2312"/>
          <w:b w:val="0"/>
          <w:bCs w:val="0"/>
          <w:i w:val="0"/>
          <w:iCs w:val="0"/>
          <w:caps w:val="0"/>
          <w:color w:val="auto"/>
          <w:spacing w:val="0"/>
          <w:sz w:val="32"/>
          <w:szCs w:val="32"/>
          <w:highlight w:val="none"/>
        </w:rPr>
        <w:t>.4对于已超过合同生效日期且符合特殊登记条件的纸质合同，自确认登记月份起形成零售关系，依照登记的合同开展零售结算。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Style w:val="12"/>
          <w:rFonts w:hint="eastAsia" w:ascii="黑体" w:hAnsi="黑体" w:eastAsia="黑体" w:cs="黑体"/>
          <w:b w:val="0"/>
          <w:bCs w:val="0"/>
          <w:i w:val="0"/>
          <w:iCs w:val="0"/>
          <w:caps w:val="0"/>
          <w:color w:val="auto"/>
          <w:spacing w:val="0"/>
          <w:sz w:val="32"/>
          <w:szCs w:val="32"/>
          <w:highlight w:val="none"/>
          <w:lang w:val="en-US" w:eastAsia="zh-CN"/>
        </w:rPr>
      </w:pPr>
      <w:r>
        <w:rPr>
          <w:rStyle w:val="12"/>
          <w:rFonts w:hint="eastAsia" w:ascii="黑体" w:hAnsi="黑体" w:eastAsia="黑体" w:cs="黑体"/>
          <w:b w:val="0"/>
          <w:bCs w:val="0"/>
          <w:i w:val="0"/>
          <w:iCs w:val="0"/>
          <w:caps w:val="0"/>
          <w:color w:val="auto"/>
          <w:spacing w:val="0"/>
          <w:sz w:val="32"/>
          <w:szCs w:val="32"/>
          <w:highlight w:val="none"/>
          <w:lang w:val="en-US" w:eastAsia="zh-CN"/>
        </w:rPr>
        <w:t>10.争议处理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2"/>
          <w:rFonts w:hint="eastAsia" w:ascii="仿宋_GB2312" w:hAnsi="仿宋_GB2312" w:eastAsia="仿宋_GB2312" w:cs="仿宋_GB2312"/>
          <w:b w:val="0"/>
          <w:bCs w:val="0"/>
          <w:i w:val="0"/>
          <w:iCs w:val="0"/>
          <w:caps w:val="0"/>
          <w:color w:val="auto"/>
          <w:spacing w:val="0"/>
          <w:sz w:val="32"/>
          <w:szCs w:val="32"/>
          <w:highlight w:val="none"/>
        </w:rPr>
      </w:pP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10</w:t>
      </w:r>
      <w:r>
        <w:rPr>
          <w:rStyle w:val="12"/>
          <w:rFonts w:hint="eastAsia" w:ascii="仿宋_GB2312" w:hAnsi="仿宋_GB2312" w:eastAsia="仿宋_GB2312" w:cs="仿宋_GB2312"/>
          <w:b w:val="0"/>
          <w:bCs w:val="0"/>
          <w:i w:val="0"/>
          <w:iCs w:val="0"/>
          <w:caps w:val="0"/>
          <w:color w:val="auto"/>
          <w:spacing w:val="0"/>
          <w:sz w:val="32"/>
          <w:szCs w:val="32"/>
          <w:highlight w:val="none"/>
        </w:rPr>
        <w:t>.1售电公司和零售用户在交易过程中出现争议时，</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可自行协商解决；协商无法达成一致时，可提交仲裁委员会或向人民法院提起诉讼。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2"/>
          <w:rFonts w:hint="eastAsia" w:ascii="仿宋_GB2312" w:hAnsi="仿宋_GB2312" w:eastAsia="仿宋_GB2312" w:cs="仿宋_GB2312"/>
          <w:b w:val="0"/>
          <w:bCs w:val="0"/>
          <w:i w:val="0"/>
          <w:iCs w:val="0"/>
          <w:caps w:val="0"/>
          <w:color w:val="auto"/>
          <w:spacing w:val="0"/>
          <w:sz w:val="32"/>
          <w:szCs w:val="32"/>
          <w:highlight w:val="none"/>
        </w:rPr>
      </w:pP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10</w:t>
      </w:r>
      <w:r>
        <w:rPr>
          <w:rStyle w:val="12"/>
          <w:rFonts w:hint="eastAsia" w:ascii="仿宋_GB2312" w:hAnsi="仿宋_GB2312" w:eastAsia="仿宋_GB2312" w:cs="仿宋_GB2312"/>
          <w:b w:val="0"/>
          <w:bCs w:val="0"/>
          <w:i w:val="0"/>
          <w:iCs w:val="0"/>
          <w:caps w:val="0"/>
          <w:color w:val="auto"/>
          <w:spacing w:val="0"/>
          <w:sz w:val="32"/>
          <w:szCs w:val="32"/>
          <w:highlight w:val="none"/>
        </w:rPr>
        <w:t>.2市场主体应在交易过程中应及时保存交易过程信息，包括但不限于短信记录、合同文本等资料，如发生争议时可将保存信息作为证明材料。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Style w:val="12"/>
          <w:rFonts w:hint="eastAsia" w:ascii="黑体" w:hAnsi="黑体" w:eastAsia="黑体" w:cs="黑体"/>
          <w:b w:val="0"/>
          <w:bCs w:val="0"/>
          <w:i w:val="0"/>
          <w:iCs w:val="0"/>
          <w:caps w:val="0"/>
          <w:color w:val="auto"/>
          <w:spacing w:val="0"/>
          <w:sz w:val="32"/>
          <w:szCs w:val="32"/>
          <w:highlight w:val="none"/>
          <w:lang w:val="en-US" w:eastAsia="zh-CN"/>
        </w:rPr>
      </w:pPr>
      <w:r>
        <w:rPr>
          <w:rStyle w:val="12"/>
          <w:rFonts w:hint="eastAsia" w:ascii="黑体" w:hAnsi="黑体" w:eastAsia="黑体" w:cs="黑体"/>
          <w:b w:val="0"/>
          <w:bCs w:val="0"/>
          <w:i w:val="0"/>
          <w:iCs w:val="0"/>
          <w:caps w:val="0"/>
          <w:color w:val="auto"/>
          <w:spacing w:val="0"/>
          <w:sz w:val="32"/>
          <w:szCs w:val="32"/>
          <w:highlight w:val="none"/>
          <w:lang w:val="en-US" w:eastAsia="zh-CN"/>
        </w:rPr>
        <w:t>11.其他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2"/>
          <w:rFonts w:hint="eastAsia" w:ascii="仿宋_GB2312" w:hAnsi="仿宋_GB2312" w:eastAsia="仿宋_GB2312" w:cs="仿宋_GB2312"/>
          <w:b w:val="0"/>
          <w:bCs w:val="0"/>
          <w:i w:val="0"/>
          <w:iCs w:val="0"/>
          <w:caps w:val="0"/>
          <w:color w:val="auto"/>
          <w:spacing w:val="0"/>
          <w:sz w:val="32"/>
          <w:szCs w:val="32"/>
          <w:highlight w:val="none"/>
        </w:rPr>
      </w:pP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11</w:t>
      </w:r>
      <w:r>
        <w:rPr>
          <w:rStyle w:val="12"/>
          <w:rFonts w:hint="eastAsia" w:ascii="仿宋_GB2312" w:hAnsi="仿宋_GB2312" w:eastAsia="仿宋_GB2312" w:cs="仿宋_GB2312"/>
          <w:b w:val="0"/>
          <w:bCs w:val="0"/>
          <w:i w:val="0"/>
          <w:iCs w:val="0"/>
          <w:caps w:val="0"/>
          <w:color w:val="auto"/>
          <w:spacing w:val="0"/>
          <w:sz w:val="32"/>
          <w:szCs w:val="32"/>
          <w:highlight w:val="none"/>
        </w:rPr>
        <w:t>.1</w:t>
      </w:r>
      <w:r>
        <w:rPr>
          <w:rStyle w:val="12"/>
          <w:rFonts w:hint="eastAsia" w:ascii="仿宋_GB2312" w:hAnsi="仿宋_GB2312" w:eastAsia="仿宋_GB2312" w:cs="仿宋_GB2312"/>
          <w:b w:val="0"/>
          <w:bCs w:val="0"/>
          <w:i w:val="0"/>
          <w:iCs w:val="0"/>
          <w:caps w:val="0"/>
          <w:color w:val="auto"/>
          <w:spacing w:val="0"/>
          <w:sz w:val="32"/>
          <w:szCs w:val="32"/>
          <w:highlight w:val="none"/>
          <w:lang w:eastAsia="zh-CN"/>
        </w:rPr>
        <w:t>本细则与国家最新的政策、文件规定不符的，从其规定。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2"/>
          <w:rFonts w:hint="eastAsia" w:ascii="仿宋_GB2312" w:hAnsi="仿宋_GB2312" w:eastAsia="仿宋_GB2312" w:cs="仿宋_GB2312"/>
          <w:b w:val="0"/>
          <w:bCs w:val="0"/>
          <w:i w:val="0"/>
          <w:iCs w:val="0"/>
          <w:caps w:val="0"/>
          <w:color w:val="auto"/>
          <w:spacing w:val="0"/>
          <w:sz w:val="32"/>
          <w:szCs w:val="32"/>
          <w:highlight w:val="none"/>
        </w:rPr>
      </w:pP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11</w:t>
      </w:r>
      <w:r>
        <w:rPr>
          <w:rStyle w:val="12"/>
          <w:rFonts w:hint="eastAsia" w:ascii="仿宋_GB2312" w:hAnsi="仿宋_GB2312" w:eastAsia="仿宋_GB2312" w:cs="仿宋_GB2312"/>
          <w:b w:val="0"/>
          <w:bCs w:val="0"/>
          <w:i w:val="0"/>
          <w:iCs w:val="0"/>
          <w:caps w:val="0"/>
          <w:color w:val="auto"/>
          <w:spacing w:val="0"/>
          <w:sz w:val="32"/>
          <w:szCs w:val="32"/>
          <w:highlight w:val="none"/>
        </w:rPr>
        <w:t>.2本细则由</w:t>
      </w:r>
      <w:r>
        <w:rPr>
          <w:rStyle w:val="12"/>
          <w:rFonts w:hint="eastAsia" w:ascii="仿宋_GB2312" w:hAnsi="仿宋_GB2312" w:eastAsia="仿宋_GB2312" w:cs="仿宋_GB2312"/>
          <w:b w:val="0"/>
          <w:bCs w:val="0"/>
          <w:i w:val="0"/>
          <w:iCs w:val="0"/>
          <w:caps w:val="0"/>
          <w:color w:val="auto"/>
          <w:spacing w:val="0"/>
          <w:sz w:val="32"/>
          <w:szCs w:val="32"/>
          <w:highlight w:val="none"/>
          <w:lang w:eastAsia="zh-CN"/>
        </w:rPr>
        <w:t>海南</w:t>
      </w:r>
      <w:r>
        <w:rPr>
          <w:rStyle w:val="12"/>
          <w:rFonts w:hint="eastAsia" w:ascii="仿宋_GB2312" w:hAnsi="仿宋_GB2312" w:eastAsia="仿宋_GB2312" w:cs="仿宋_GB2312"/>
          <w:b w:val="0"/>
          <w:bCs w:val="0"/>
          <w:i w:val="0"/>
          <w:iCs w:val="0"/>
          <w:caps w:val="0"/>
          <w:color w:val="auto"/>
          <w:spacing w:val="0"/>
          <w:sz w:val="32"/>
          <w:szCs w:val="32"/>
          <w:highlight w:val="none"/>
        </w:rPr>
        <w:t>电力交易中心负责解释。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2"/>
          <w:rFonts w:hint="eastAsia" w:ascii="仿宋_GB2312" w:hAnsi="仿宋_GB2312" w:eastAsia="仿宋_GB2312" w:cs="仿宋_GB2312"/>
          <w:b w:val="0"/>
          <w:bCs w:val="0"/>
          <w:i w:val="0"/>
          <w:iCs w:val="0"/>
          <w:caps w:val="0"/>
          <w:color w:val="auto"/>
          <w:spacing w:val="0"/>
          <w:sz w:val="32"/>
          <w:szCs w:val="32"/>
          <w:highlight w:val="none"/>
          <w:lang w:eastAsia="zh-CN"/>
        </w:rPr>
      </w:pP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11</w:t>
      </w:r>
      <w:r>
        <w:rPr>
          <w:rStyle w:val="12"/>
          <w:rFonts w:hint="eastAsia" w:ascii="仿宋_GB2312" w:hAnsi="仿宋_GB2312" w:eastAsia="仿宋_GB2312" w:cs="仿宋_GB2312"/>
          <w:b w:val="0"/>
          <w:bCs w:val="0"/>
          <w:i w:val="0"/>
          <w:iCs w:val="0"/>
          <w:caps w:val="0"/>
          <w:color w:val="auto"/>
          <w:spacing w:val="0"/>
          <w:sz w:val="32"/>
          <w:szCs w:val="32"/>
          <w:highlight w:val="none"/>
          <w:lang w:eastAsia="zh-CN"/>
        </w:rPr>
        <w:t>.3本细则</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自印发之日起生效</w:t>
      </w:r>
      <w:r>
        <w:rPr>
          <w:rStyle w:val="12"/>
          <w:rFonts w:hint="eastAsia" w:ascii="仿宋_GB2312" w:hAnsi="仿宋_GB2312" w:eastAsia="仿宋_GB2312" w:cs="仿宋_GB2312"/>
          <w:b w:val="0"/>
          <w:bCs w:val="0"/>
          <w:i w:val="0"/>
          <w:iCs w:val="0"/>
          <w:caps w:val="0"/>
          <w:color w:val="auto"/>
          <w:spacing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2"/>
          <w:rFonts w:hint="eastAsia" w:ascii="仿宋_GB2312" w:hAnsi="仿宋_GB2312" w:eastAsia="仿宋_GB2312" w:cs="仿宋_GB2312"/>
          <w:b w:val="0"/>
          <w:bCs w:val="0"/>
          <w:i w:val="0"/>
          <w:iCs w:val="0"/>
          <w:caps w:val="0"/>
          <w:color w:val="auto"/>
          <w:spacing w:val="0"/>
          <w:sz w:val="32"/>
          <w:szCs w:val="32"/>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jc w:val="left"/>
        <w:outlineLvl w:val="0"/>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附件</w:t>
      </w:r>
    </w:p>
    <w:p>
      <w:pPr>
        <w:spacing w:line="600" w:lineRule="exact"/>
        <w:jc w:val="left"/>
        <w:rPr>
          <w:rFonts w:hint="default" w:ascii="黑体" w:hAnsi="黑体" w:eastAsia="黑体" w:cs="黑体"/>
          <w:color w:val="auto"/>
          <w:sz w:val="32"/>
          <w:szCs w:val="32"/>
          <w:highlight w:val="none"/>
          <w:lang w:val="en-US" w:eastAsia="zh-CN"/>
        </w:rPr>
      </w:pPr>
    </w:p>
    <w:p>
      <w:pPr>
        <w:spacing w:line="600" w:lineRule="exact"/>
        <w:jc w:val="center"/>
        <w:rPr>
          <w:rFonts w:ascii="宋体" w:hAnsi="宋体"/>
          <w:color w:val="auto"/>
          <w:sz w:val="32"/>
          <w:szCs w:val="32"/>
          <w:highlight w:val="none"/>
        </w:rPr>
      </w:pPr>
    </w:p>
    <w:p>
      <w:pPr>
        <w:spacing w:line="600" w:lineRule="exact"/>
        <w:jc w:val="center"/>
        <w:rPr>
          <w:rFonts w:ascii="黑体" w:hAnsi="黑体" w:eastAsia="黑体" w:cs="黑体"/>
          <w:b/>
          <w:color w:val="auto"/>
          <w:sz w:val="48"/>
          <w:szCs w:val="48"/>
          <w:highlight w:val="none"/>
        </w:rPr>
      </w:pPr>
      <w:r>
        <w:rPr>
          <w:rFonts w:hint="eastAsia" w:ascii="黑体" w:hAnsi="黑体" w:eastAsia="黑体" w:cs="黑体"/>
          <w:b/>
          <w:color w:val="auto"/>
          <w:sz w:val="48"/>
          <w:szCs w:val="48"/>
          <w:highlight w:val="none"/>
        </w:rPr>
        <w:t>海南电力市场售电公司与电力用户</w:t>
      </w:r>
    </w:p>
    <w:p>
      <w:pPr>
        <w:spacing w:line="600" w:lineRule="exact"/>
        <w:jc w:val="center"/>
        <w:rPr>
          <w:rFonts w:ascii="黑体" w:hAnsi="黑体" w:eastAsia="黑体" w:cs="黑体"/>
          <w:b/>
          <w:color w:val="auto"/>
          <w:sz w:val="48"/>
          <w:szCs w:val="48"/>
          <w:highlight w:val="none"/>
        </w:rPr>
      </w:pPr>
      <w:r>
        <w:rPr>
          <w:rFonts w:hint="eastAsia" w:ascii="黑体" w:hAnsi="黑体" w:eastAsia="黑体" w:cs="黑体"/>
          <w:b/>
          <w:color w:val="auto"/>
          <w:sz w:val="48"/>
          <w:szCs w:val="48"/>
          <w:highlight w:val="none"/>
        </w:rPr>
        <w:t>零售交易合同</w:t>
      </w:r>
    </w:p>
    <w:p>
      <w:pPr>
        <w:spacing w:line="600" w:lineRule="exact"/>
        <w:jc w:val="center"/>
        <w:rPr>
          <w:rFonts w:ascii="黑体" w:hAnsi="黑体" w:eastAsia="黑体" w:cs="黑体"/>
          <w:b/>
          <w:color w:val="auto"/>
          <w:sz w:val="48"/>
          <w:szCs w:val="48"/>
          <w:highlight w:val="none"/>
        </w:rPr>
      </w:pPr>
      <w:r>
        <w:rPr>
          <w:rFonts w:hint="eastAsia" w:ascii="黑体" w:hAnsi="黑体" w:eastAsia="黑体" w:cs="黑体"/>
          <w:b/>
          <w:color w:val="auto"/>
          <w:sz w:val="48"/>
          <w:szCs w:val="48"/>
          <w:highlight w:val="none"/>
        </w:rPr>
        <w:t>（</w:t>
      </w:r>
      <w:r>
        <w:rPr>
          <w:rFonts w:hint="eastAsia" w:ascii="黑体" w:hAnsi="黑体" w:eastAsia="黑体" w:cs="黑体"/>
          <w:b/>
          <w:color w:val="auto"/>
          <w:sz w:val="48"/>
          <w:szCs w:val="48"/>
          <w:highlight w:val="none"/>
          <w:lang w:val="en-US" w:eastAsia="zh-CN"/>
        </w:rPr>
        <w:t>范</w:t>
      </w:r>
      <w:r>
        <w:rPr>
          <w:rFonts w:hint="eastAsia" w:ascii="黑体" w:hAnsi="黑体" w:eastAsia="黑体" w:cs="黑体"/>
          <w:b/>
          <w:color w:val="auto"/>
          <w:sz w:val="48"/>
          <w:szCs w:val="48"/>
          <w:highlight w:val="none"/>
        </w:rPr>
        <w:t>本）</w:t>
      </w:r>
    </w:p>
    <w:p>
      <w:pPr>
        <w:spacing w:line="600" w:lineRule="exact"/>
        <w:rPr>
          <w:rFonts w:ascii="宋体" w:hAnsi="宋体"/>
          <w:color w:val="auto"/>
          <w:sz w:val="32"/>
          <w:szCs w:val="32"/>
          <w:highlight w:val="none"/>
        </w:rPr>
      </w:pPr>
    </w:p>
    <w:p>
      <w:pPr>
        <w:spacing w:line="600" w:lineRule="exact"/>
        <w:rPr>
          <w:rFonts w:ascii="宋体" w:hAnsi="宋体"/>
          <w:color w:val="auto"/>
          <w:sz w:val="32"/>
          <w:szCs w:val="32"/>
          <w:highlight w:val="none"/>
        </w:rPr>
      </w:pPr>
    </w:p>
    <w:p>
      <w:pPr>
        <w:spacing w:line="600" w:lineRule="exact"/>
        <w:rPr>
          <w:rFonts w:ascii="宋体" w:hAnsi="宋体"/>
          <w:color w:val="auto"/>
          <w:sz w:val="32"/>
          <w:szCs w:val="32"/>
          <w:highlight w:val="none"/>
        </w:rPr>
      </w:pPr>
    </w:p>
    <w:p>
      <w:pPr>
        <w:spacing w:line="600" w:lineRule="exact"/>
        <w:rPr>
          <w:rFonts w:ascii="宋体" w:hAnsi="宋体"/>
          <w:color w:val="auto"/>
          <w:sz w:val="32"/>
          <w:szCs w:val="32"/>
          <w:highlight w:val="none"/>
        </w:rPr>
      </w:pPr>
    </w:p>
    <w:p>
      <w:pPr>
        <w:spacing w:line="600" w:lineRule="exact"/>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ind w:firstLine="1606" w:firstLineChars="500"/>
        <w:rPr>
          <w:rFonts w:ascii="宋体" w:hAnsi="宋体"/>
          <w:b/>
          <w:color w:val="auto"/>
          <w:sz w:val="32"/>
          <w:szCs w:val="32"/>
          <w:highlight w:val="none"/>
        </w:rPr>
      </w:pPr>
    </w:p>
    <w:p>
      <w:pPr>
        <w:spacing w:line="600" w:lineRule="exact"/>
        <w:ind w:firstLine="1285" w:firstLineChars="400"/>
        <w:jc w:val="left"/>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甲方（电力用户）：</w:t>
      </w:r>
      <w:r>
        <w:rPr>
          <w:rFonts w:hint="eastAsia" w:ascii="黑体" w:hAnsi="黑体" w:eastAsia="黑体" w:cs="黑体"/>
          <w:b/>
          <w:color w:val="auto"/>
          <w:sz w:val="32"/>
          <w:szCs w:val="32"/>
          <w:highlight w:val="none"/>
          <w:u w:val="single"/>
        </w:rPr>
        <w:t xml:space="preserve"> </w:t>
      </w:r>
      <w:r>
        <w:rPr>
          <w:rFonts w:ascii="黑体" w:hAnsi="黑体" w:eastAsia="黑体" w:cs="黑体"/>
          <w:b/>
          <w:color w:val="auto"/>
          <w:sz w:val="32"/>
          <w:szCs w:val="32"/>
          <w:highlight w:val="none"/>
          <w:u w:val="single"/>
        </w:rPr>
        <w:t xml:space="preserve">                </w:t>
      </w:r>
      <w:r>
        <w:rPr>
          <w:rFonts w:hint="eastAsia" w:ascii="黑体" w:hAnsi="黑体" w:eastAsia="黑体" w:cs="黑体"/>
          <w:b/>
          <w:color w:val="auto"/>
          <w:sz w:val="32"/>
          <w:szCs w:val="32"/>
          <w:highlight w:val="none"/>
        </w:rPr>
        <w:t xml:space="preserve"> </w:t>
      </w:r>
    </w:p>
    <w:p>
      <w:pPr>
        <w:spacing w:line="600" w:lineRule="exact"/>
        <w:ind w:firstLine="1285" w:firstLineChars="400"/>
        <w:jc w:val="left"/>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乙方（售电公司）：</w:t>
      </w:r>
      <w:r>
        <w:rPr>
          <w:rFonts w:hint="eastAsia" w:ascii="黑体" w:hAnsi="黑体" w:eastAsia="黑体" w:cs="黑体"/>
          <w:b/>
          <w:color w:val="auto"/>
          <w:sz w:val="32"/>
          <w:szCs w:val="32"/>
          <w:highlight w:val="none"/>
          <w:u w:val="single"/>
        </w:rPr>
        <w:t xml:space="preserve"> </w:t>
      </w:r>
      <w:r>
        <w:rPr>
          <w:rFonts w:ascii="黑体" w:hAnsi="黑体" w:eastAsia="黑体" w:cs="黑体"/>
          <w:b/>
          <w:color w:val="auto"/>
          <w:sz w:val="32"/>
          <w:szCs w:val="32"/>
          <w:highlight w:val="none"/>
          <w:u w:val="single"/>
        </w:rPr>
        <w:t xml:space="preserve">                </w:t>
      </w:r>
      <w:r>
        <w:rPr>
          <w:rFonts w:hint="eastAsia" w:ascii="黑体" w:hAnsi="黑体" w:eastAsia="黑体" w:cs="黑体"/>
          <w:b/>
          <w:color w:val="auto"/>
          <w:sz w:val="32"/>
          <w:szCs w:val="32"/>
          <w:highlight w:val="none"/>
        </w:rPr>
        <w:t xml:space="preserve">  </w:t>
      </w:r>
    </w:p>
    <w:p>
      <w:pPr>
        <w:spacing w:line="600" w:lineRule="exact"/>
        <w:rPr>
          <w:rFonts w:ascii="宋体" w:hAnsi="宋体"/>
          <w:color w:val="auto"/>
          <w:sz w:val="32"/>
          <w:szCs w:val="32"/>
          <w:highlight w:val="none"/>
        </w:rPr>
      </w:pPr>
    </w:p>
    <w:p>
      <w:pPr>
        <w:pStyle w:val="13"/>
        <w:spacing w:line="600" w:lineRule="exact"/>
        <w:rPr>
          <w:color w:val="auto"/>
          <w:highlight w:val="none"/>
        </w:rPr>
      </w:pPr>
    </w:p>
    <w:p>
      <w:pPr>
        <w:spacing w:line="600" w:lineRule="exact"/>
        <w:jc w:val="center"/>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签订时间：20</w:t>
      </w:r>
      <w:r>
        <w:rPr>
          <w:rFonts w:hint="eastAsia" w:ascii="黑体" w:hAnsi="黑体" w:eastAsia="黑体" w:cs="黑体"/>
          <w:b/>
          <w:color w:val="auto"/>
          <w:sz w:val="32"/>
          <w:szCs w:val="32"/>
          <w:highlight w:val="none"/>
          <w:u w:val="single"/>
        </w:rPr>
        <w:t xml:space="preserve">   </w:t>
      </w:r>
      <w:r>
        <w:rPr>
          <w:rFonts w:hint="eastAsia" w:ascii="黑体" w:hAnsi="黑体" w:eastAsia="黑体" w:cs="黑体"/>
          <w:b/>
          <w:color w:val="auto"/>
          <w:sz w:val="32"/>
          <w:szCs w:val="32"/>
          <w:highlight w:val="none"/>
        </w:rPr>
        <w:t>年</w:t>
      </w:r>
      <w:r>
        <w:rPr>
          <w:rFonts w:hint="eastAsia" w:ascii="黑体" w:hAnsi="黑体" w:eastAsia="黑体" w:cs="黑体"/>
          <w:b/>
          <w:color w:val="auto"/>
          <w:sz w:val="32"/>
          <w:szCs w:val="32"/>
          <w:highlight w:val="none"/>
          <w:u w:val="single"/>
        </w:rPr>
        <w:t xml:space="preserve">  </w:t>
      </w:r>
      <w:r>
        <w:rPr>
          <w:rFonts w:hint="eastAsia" w:ascii="黑体" w:hAnsi="黑体" w:eastAsia="黑体" w:cs="黑体"/>
          <w:b/>
          <w:color w:val="auto"/>
          <w:sz w:val="32"/>
          <w:szCs w:val="32"/>
          <w:highlight w:val="none"/>
        </w:rPr>
        <w:t>月</w:t>
      </w:r>
    </w:p>
    <w:p>
      <w:pPr>
        <w:spacing w:line="600" w:lineRule="exact"/>
        <w:jc w:val="center"/>
        <w:rPr>
          <w:rFonts w:ascii="宋体" w:hAnsi="宋体"/>
          <w:b/>
          <w:color w:val="auto"/>
          <w:sz w:val="32"/>
          <w:szCs w:val="32"/>
          <w:highlight w:val="none"/>
        </w:rPr>
      </w:pPr>
    </w:p>
    <w:p>
      <w:pPr>
        <w:spacing w:before="468" w:beforeLines="150" w:after="468" w:afterLines="150" w:line="600" w:lineRule="exact"/>
        <w:jc w:val="center"/>
        <w:rPr>
          <w:rFonts w:eastAsia="黑体"/>
          <w:color w:val="auto"/>
          <w:kern w:val="0"/>
          <w:sz w:val="32"/>
          <w:szCs w:val="32"/>
          <w:highlight w:val="none"/>
        </w:rPr>
        <w:sectPr>
          <w:headerReference r:id="rId5" w:type="default"/>
          <w:footerReference r:id="rId6" w:type="default"/>
          <w:pgSz w:w="11906" w:h="16838"/>
          <w:pgMar w:top="1440" w:right="1886" w:bottom="1440" w:left="182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黑体"/>
          <w:color w:val="auto"/>
          <w:kern w:val="0"/>
          <w:sz w:val="32"/>
          <w:szCs w:val="32"/>
          <w:highlight w:val="none"/>
        </w:rPr>
      </w:pPr>
      <w:r>
        <w:rPr>
          <w:rFonts w:eastAsia="黑体"/>
          <w:color w:val="auto"/>
          <w:kern w:val="0"/>
          <w:sz w:val="36"/>
          <w:szCs w:val="36"/>
          <w:highlight w:val="none"/>
        </w:rPr>
        <w:t>使用说明</w:t>
      </w:r>
    </w:p>
    <w:p>
      <w:pPr>
        <w:keepNext w:val="0"/>
        <w:keepLines w:val="0"/>
        <w:pageBreakBefore w:val="0"/>
        <w:widowControl w:val="0"/>
        <w:tabs>
          <w:tab w:val="left" w:pos="1260"/>
        </w:tabs>
        <w:kinsoku/>
        <w:wordWrap/>
        <w:overflowPunct/>
        <w:topLinePunct w:val="0"/>
        <w:autoSpaceDE/>
        <w:autoSpaceDN/>
        <w:bidi w:val="0"/>
        <w:adjustRightInd/>
        <w:snapToGrid/>
        <w:spacing w:line="600" w:lineRule="exact"/>
        <w:ind w:firstLine="560" w:firstLineChars="200"/>
        <w:textAlignment w:val="auto"/>
        <w:rPr>
          <w:rFonts w:ascii="宋体" w:hAnsi="宋体" w:cs="宋体"/>
          <w:color w:val="auto"/>
          <w:sz w:val="28"/>
          <w:szCs w:val="28"/>
          <w:highlight w:val="none"/>
        </w:rPr>
      </w:pPr>
      <w:r>
        <w:rPr>
          <w:rFonts w:hint="eastAsia" w:ascii="宋体" w:hAnsi="宋体" w:cs="宋体"/>
          <w:color w:val="auto"/>
          <w:sz w:val="28"/>
          <w:szCs w:val="28"/>
          <w:highlight w:val="none"/>
        </w:rPr>
        <w:t>一、</w:t>
      </w:r>
      <w:r>
        <w:rPr>
          <w:rFonts w:hint="eastAsia" w:ascii="宋体" w:hAnsi="宋体" w:cs="宋体"/>
          <w:color w:val="auto"/>
          <w:sz w:val="28"/>
          <w:szCs w:val="28"/>
          <w:highlight w:val="none"/>
          <w:lang w:val="en-US" w:eastAsia="zh-CN"/>
        </w:rPr>
        <w:t>本合同</w:t>
      </w:r>
      <w:r>
        <w:rPr>
          <w:rFonts w:hint="eastAsia" w:ascii="宋体" w:hAnsi="宋体" w:cs="宋体"/>
          <w:color w:val="auto"/>
          <w:sz w:val="28"/>
          <w:szCs w:val="28"/>
          <w:highlight w:val="none"/>
        </w:rPr>
        <w:t>适用于按照电力交易规则、年度交易实施方案细则、交易通知等要求参加海南电力零售市场的售电公司与电力用户。</w:t>
      </w:r>
    </w:p>
    <w:p>
      <w:pPr>
        <w:keepNext w:val="0"/>
        <w:keepLines w:val="0"/>
        <w:pageBreakBefore w:val="0"/>
        <w:widowControl w:val="0"/>
        <w:tabs>
          <w:tab w:val="left" w:pos="1260"/>
        </w:tabs>
        <w:kinsoku/>
        <w:wordWrap/>
        <w:overflowPunct/>
        <w:topLinePunct w:val="0"/>
        <w:autoSpaceDE/>
        <w:autoSpaceDN/>
        <w:bidi w:val="0"/>
        <w:adjustRightInd/>
        <w:snapToGrid/>
        <w:spacing w:line="600" w:lineRule="exact"/>
        <w:ind w:firstLine="560" w:firstLineChars="200"/>
        <w:textAlignment w:val="auto"/>
        <w:rPr>
          <w:rFonts w:ascii="宋体" w:hAnsi="宋体" w:cs="宋体"/>
          <w:color w:val="auto"/>
          <w:sz w:val="28"/>
          <w:szCs w:val="28"/>
          <w:highlight w:val="none"/>
        </w:rPr>
      </w:pPr>
      <w:r>
        <w:rPr>
          <w:rFonts w:hint="eastAsia" w:ascii="宋体" w:hAnsi="宋体" w:cs="宋体"/>
          <w:color w:val="auto"/>
          <w:sz w:val="28"/>
          <w:szCs w:val="28"/>
          <w:highlight w:val="none"/>
        </w:rPr>
        <w:t>二、甲乙双方</w:t>
      </w:r>
      <w:r>
        <w:rPr>
          <w:rFonts w:hint="eastAsia" w:ascii="宋体" w:hAnsi="宋体" w:cs="宋体"/>
          <w:color w:val="auto"/>
          <w:sz w:val="28"/>
          <w:szCs w:val="28"/>
          <w:highlight w:val="none"/>
          <w:lang w:val="en-US" w:eastAsia="zh-CN"/>
        </w:rPr>
        <w:t>根据</w:t>
      </w:r>
      <w:r>
        <w:rPr>
          <w:rFonts w:hint="eastAsia" w:ascii="宋体" w:hAnsi="宋体" w:cs="宋体"/>
          <w:color w:val="auto"/>
          <w:sz w:val="28"/>
          <w:szCs w:val="28"/>
          <w:highlight w:val="none"/>
        </w:rPr>
        <w:t>本</w:t>
      </w:r>
      <w:r>
        <w:rPr>
          <w:rFonts w:hint="eastAsia" w:ascii="宋体" w:hAnsi="宋体" w:cs="宋体"/>
          <w:color w:val="auto"/>
          <w:sz w:val="28"/>
          <w:szCs w:val="28"/>
          <w:highlight w:val="none"/>
          <w:lang w:val="en-US" w:eastAsia="zh-CN"/>
        </w:rPr>
        <w:t>合同</w:t>
      </w:r>
      <w:r>
        <w:rPr>
          <w:rFonts w:hint="eastAsia" w:ascii="宋体" w:hAnsi="宋体" w:cs="宋体"/>
          <w:color w:val="auto"/>
          <w:sz w:val="28"/>
          <w:szCs w:val="28"/>
          <w:highlight w:val="none"/>
        </w:rPr>
        <w:t>第</w:t>
      </w:r>
      <w:r>
        <w:rPr>
          <w:rFonts w:hint="eastAsia" w:ascii="宋体" w:hAnsi="宋体" w:cs="宋体"/>
          <w:color w:val="auto"/>
          <w:sz w:val="28"/>
          <w:szCs w:val="28"/>
          <w:highlight w:val="none"/>
          <w:lang w:val="en-US" w:eastAsia="zh-CN"/>
        </w:rPr>
        <w:t>四</w:t>
      </w:r>
      <w:r>
        <w:rPr>
          <w:rFonts w:hint="eastAsia" w:ascii="宋体" w:hAnsi="宋体" w:cs="宋体"/>
          <w:color w:val="auto"/>
          <w:sz w:val="28"/>
          <w:szCs w:val="28"/>
          <w:highlight w:val="none"/>
        </w:rPr>
        <w:t>章</w:t>
      </w:r>
      <w:r>
        <w:rPr>
          <w:rFonts w:hint="eastAsia" w:ascii="宋体" w:hAnsi="宋体" w:cs="宋体"/>
          <w:color w:val="auto"/>
          <w:sz w:val="28"/>
          <w:szCs w:val="28"/>
          <w:highlight w:val="none"/>
          <w:lang w:val="en-US" w:eastAsia="zh-CN"/>
        </w:rPr>
        <w:t>结算事宜</w:t>
      </w:r>
      <w:r>
        <w:rPr>
          <w:rFonts w:hint="eastAsia" w:ascii="宋体" w:hAnsi="宋体" w:cs="宋体"/>
          <w:color w:val="auto"/>
          <w:sz w:val="28"/>
          <w:szCs w:val="28"/>
          <w:highlight w:val="none"/>
        </w:rPr>
        <w:t>所约定的合同内容</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在</w:t>
      </w:r>
      <w:r>
        <w:rPr>
          <w:rFonts w:hint="eastAsia" w:ascii="宋体" w:hAnsi="宋体" w:cs="宋体"/>
          <w:color w:val="auto"/>
          <w:sz w:val="28"/>
          <w:szCs w:val="28"/>
          <w:highlight w:val="none"/>
          <w:lang w:eastAsia="zh-CN"/>
        </w:rPr>
        <w:t>南方区域电力交易平台（以下简称“交易</w:t>
      </w:r>
      <w:r>
        <w:rPr>
          <w:rFonts w:hint="eastAsia" w:ascii="宋体" w:hAnsi="宋体" w:cs="宋体"/>
          <w:color w:val="auto"/>
          <w:sz w:val="28"/>
          <w:szCs w:val="28"/>
          <w:highlight w:val="none"/>
          <w:lang w:val="en-US" w:eastAsia="zh-CN"/>
        </w:rPr>
        <w:t>平台</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进行零售关键信息登记</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零售关键信息包括零售双方主体、</w:t>
      </w:r>
      <w:r>
        <w:rPr>
          <w:rFonts w:hint="eastAsia" w:ascii="宋体" w:hAnsi="宋体" w:cs="宋体"/>
          <w:color w:val="auto"/>
          <w:sz w:val="28"/>
          <w:szCs w:val="28"/>
          <w:highlight w:val="none"/>
          <w:lang w:val="en-US" w:eastAsia="zh-CN"/>
        </w:rPr>
        <w:t>合同起止时间</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rPr>
        <w:t>零售套餐、价格、</w:t>
      </w:r>
      <w:r>
        <w:rPr>
          <w:rFonts w:hint="eastAsia" w:ascii="宋体" w:hAnsi="宋体" w:cs="宋体"/>
          <w:color w:val="auto"/>
          <w:sz w:val="28"/>
          <w:szCs w:val="28"/>
          <w:highlight w:val="none"/>
          <w:lang w:val="en-US" w:eastAsia="zh-CN"/>
        </w:rPr>
        <w:t>分月计划电量、</w:t>
      </w:r>
      <w:r>
        <w:rPr>
          <w:rFonts w:hint="eastAsia" w:ascii="宋体" w:hAnsi="宋体" w:cs="宋体"/>
          <w:color w:val="auto"/>
          <w:sz w:val="28"/>
          <w:szCs w:val="28"/>
          <w:highlight w:val="none"/>
        </w:rPr>
        <w:t>绿色电力交易电量比例</w:t>
      </w:r>
      <w:r>
        <w:rPr>
          <w:rFonts w:hint="eastAsia" w:ascii="宋体" w:hAnsi="宋体" w:cs="宋体"/>
          <w:color w:val="auto"/>
          <w:sz w:val="28"/>
          <w:szCs w:val="28"/>
          <w:highlight w:val="none"/>
          <w:lang w:val="en-US" w:eastAsia="zh-CN"/>
        </w:rPr>
        <w:t>以及绿证</w:t>
      </w:r>
      <w:r>
        <w:rPr>
          <w:rFonts w:hint="eastAsia" w:ascii="宋体" w:hAnsi="宋体" w:cs="宋体"/>
          <w:color w:val="auto"/>
          <w:sz w:val="28"/>
          <w:szCs w:val="28"/>
          <w:highlight w:val="none"/>
        </w:rPr>
        <w:t>价格</w:t>
      </w:r>
      <w:r>
        <w:rPr>
          <w:rFonts w:hint="eastAsia" w:ascii="宋体" w:hAnsi="宋体" w:eastAsia="宋体" w:cs="宋体"/>
          <w:color w:val="auto"/>
          <w:sz w:val="28"/>
          <w:szCs w:val="28"/>
          <w:highlight w:val="none"/>
        </w:rPr>
        <w:t>等</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并按照</w:t>
      </w:r>
      <w:r>
        <w:rPr>
          <w:rFonts w:hint="eastAsia" w:ascii="宋体" w:hAnsi="宋体" w:cs="宋体"/>
          <w:color w:val="auto"/>
          <w:sz w:val="28"/>
          <w:szCs w:val="28"/>
          <w:highlight w:val="none"/>
          <w:lang w:val="en-US" w:eastAsia="zh-CN"/>
        </w:rPr>
        <w:t>交易</w:t>
      </w:r>
      <w:r>
        <w:rPr>
          <w:rFonts w:hint="eastAsia" w:ascii="宋体" w:hAnsi="宋体" w:eastAsia="宋体" w:cs="宋体"/>
          <w:color w:val="auto"/>
          <w:sz w:val="28"/>
          <w:szCs w:val="28"/>
          <w:highlight w:val="none"/>
          <w:lang w:val="en-US" w:eastAsia="zh-CN"/>
        </w:rPr>
        <w:t>平台中固化的零售</w:t>
      </w:r>
      <w:r>
        <w:rPr>
          <w:rFonts w:hint="eastAsia" w:ascii="宋体" w:hAnsi="宋体" w:cs="宋体"/>
          <w:color w:val="auto"/>
          <w:sz w:val="28"/>
          <w:szCs w:val="28"/>
          <w:highlight w:val="none"/>
          <w:lang w:val="en-US" w:eastAsia="zh-CN"/>
        </w:rPr>
        <w:t>套餐</w:t>
      </w:r>
      <w:r>
        <w:rPr>
          <w:rFonts w:hint="eastAsia" w:ascii="宋体" w:hAnsi="宋体" w:cs="宋体"/>
          <w:color w:val="auto"/>
          <w:sz w:val="28"/>
          <w:szCs w:val="28"/>
          <w:highlight w:val="none"/>
        </w:rPr>
        <w:t>为依据开展结算服务。</w:t>
      </w:r>
    </w:p>
    <w:p>
      <w:pPr>
        <w:keepNext w:val="0"/>
        <w:keepLines w:val="0"/>
        <w:pageBreakBefore w:val="0"/>
        <w:widowControl w:val="0"/>
        <w:tabs>
          <w:tab w:val="left" w:pos="1260"/>
        </w:tabs>
        <w:kinsoku/>
        <w:wordWrap/>
        <w:overflowPunct/>
        <w:topLinePunct w:val="0"/>
        <w:autoSpaceDE/>
        <w:autoSpaceDN/>
        <w:bidi w:val="0"/>
        <w:adjustRightInd/>
        <w:snapToGrid/>
        <w:spacing w:line="600" w:lineRule="exact"/>
        <w:ind w:firstLine="560" w:firstLineChars="200"/>
        <w:textAlignment w:val="auto"/>
        <w:rPr>
          <w:rFonts w:ascii="宋体" w:hAnsi="宋体" w:cs="宋体"/>
          <w:color w:val="auto"/>
          <w:sz w:val="28"/>
          <w:szCs w:val="28"/>
          <w:highlight w:val="none"/>
        </w:rPr>
      </w:pPr>
      <w:r>
        <w:rPr>
          <w:rFonts w:hint="eastAsia" w:ascii="宋体" w:hAnsi="宋体" w:cs="宋体"/>
          <w:color w:val="auto"/>
          <w:sz w:val="28"/>
          <w:szCs w:val="28"/>
          <w:highlight w:val="none"/>
        </w:rPr>
        <w:t>三、本</w:t>
      </w:r>
      <w:r>
        <w:rPr>
          <w:rFonts w:hint="eastAsia" w:ascii="宋体" w:hAnsi="宋体" w:cs="宋体"/>
          <w:color w:val="auto"/>
          <w:sz w:val="28"/>
          <w:szCs w:val="28"/>
          <w:highlight w:val="none"/>
          <w:lang w:val="en-US" w:eastAsia="zh-CN"/>
        </w:rPr>
        <w:t>参考文本</w:t>
      </w:r>
      <w:r>
        <w:rPr>
          <w:rFonts w:hint="eastAsia" w:ascii="宋体" w:hAnsi="宋体" w:cs="宋体"/>
          <w:color w:val="auto"/>
          <w:sz w:val="28"/>
          <w:szCs w:val="28"/>
          <w:highlight w:val="none"/>
        </w:rPr>
        <w:t>仅支持合同双方约定的电能量电费</w:t>
      </w:r>
      <w:r>
        <w:rPr>
          <w:rFonts w:hint="eastAsia" w:ascii="宋体" w:hAnsi="宋体" w:cs="宋体"/>
          <w:color w:val="auto"/>
          <w:sz w:val="28"/>
          <w:szCs w:val="28"/>
          <w:highlight w:val="none"/>
          <w:lang w:val="en-US" w:eastAsia="zh-CN"/>
        </w:rPr>
        <w:t>和</w:t>
      </w:r>
      <w:r>
        <w:rPr>
          <w:rFonts w:hint="eastAsia" w:ascii="宋体" w:hAnsi="宋体"/>
          <w:color w:val="auto"/>
          <w:sz w:val="28"/>
          <w:szCs w:val="28"/>
          <w:highlight w:val="none"/>
        </w:rPr>
        <w:t>绿证价格费用</w:t>
      </w:r>
      <w:r>
        <w:rPr>
          <w:rFonts w:hint="eastAsia" w:ascii="宋体" w:hAnsi="宋体" w:cs="宋体"/>
          <w:color w:val="auto"/>
          <w:sz w:val="28"/>
          <w:szCs w:val="28"/>
          <w:highlight w:val="none"/>
        </w:rPr>
        <w:t>结算，不含需求响应零售结算。若涉及其他需资金结算的增值服务，由合同双方另行签订合同，并自主结算。</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四</w:t>
      </w:r>
      <w:r>
        <w:rPr>
          <w:rFonts w:hint="eastAsia" w:ascii="宋体" w:hAnsi="宋体" w:cs="宋体"/>
          <w:color w:val="auto"/>
          <w:sz w:val="28"/>
          <w:szCs w:val="28"/>
          <w:highlight w:val="none"/>
        </w:rPr>
        <w:t>、本参考文本若与现行有效的市场交易规则或年度交易实施方案冲突，</w:t>
      </w:r>
      <w:r>
        <w:rPr>
          <w:rFonts w:hint="eastAsia" w:ascii="宋体" w:hAnsi="宋体"/>
          <w:color w:val="auto"/>
          <w:sz w:val="28"/>
          <w:szCs w:val="28"/>
          <w:highlight w:val="none"/>
        </w:rPr>
        <w:t>以现行有效的市场交易规则或年度交易实施方案为准</w:t>
      </w:r>
      <w:r>
        <w:rPr>
          <w:rFonts w:hint="eastAsia" w:ascii="宋体" w:hAnsi="宋体" w:cs="宋体"/>
          <w:color w:val="auto"/>
          <w:sz w:val="28"/>
          <w:szCs w:val="28"/>
          <w:highlight w:val="none"/>
        </w:rPr>
        <w:t>。</w:t>
      </w: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黑体" w:hAnsi="黑体" w:eastAsia="黑体" w:cs="黑体"/>
          <w:color w:val="auto"/>
          <w:sz w:val="30"/>
          <w:szCs w:val="30"/>
          <w:highlight w:val="none"/>
        </w:rPr>
        <w:sectPr>
          <w:footerReference r:id="rId7" w:type="default"/>
          <w:pgSz w:w="11906" w:h="16838"/>
          <w:pgMar w:top="1440" w:right="1886" w:bottom="1440" w:left="1820" w:header="851" w:footer="992" w:gutter="0"/>
          <w:pgNumType w:fmt="decimal"/>
          <w:cols w:space="425" w:num="1"/>
          <w:docGrid w:type="lines" w:linePitch="312" w:charSpace="0"/>
        </w:sectPr>
      </w:pPr>
    </w:p>
    <w:p>
      <w:pPr>
        <w:pStyle w:val="14"/>
        <w:spacing w:line="600" w:lineRule="exact"/>
        <w:jc w:val="center"/>
        <w:rPr>
          <w:color w:val="auto"/>
          <w:sz w:val="44"/>
          <w:szCs w:val="44"/>
          <w:highlight w:val="none"/>
        </w:rPr>
      </w:pPr>
      <w:r>
        <w:rPr>
          <w:color w:val="auto"/>
          <w:sz w:val="44"/>
          <w:szCs w:val="44"/>
          <w:highlight w:val="none"/>
          <w:lang w:val="zh-CN"/>
        </w:rPr>
        <w:t>目</w:t>
      </w:r>
      <w:r>
        <w:rPr>
          <w:rFonts w:hint="eastAsia"/>
          <w:color w:val="auto"/>
          <w:sz w:val="44"/>
          <w:szCs w:val="44"/>
          <w:highlight w:val="none"/>
          <w:lang w:val="en-US" w:eastAsia="zh-CN"/>
        </w:rPr>
        <w:t xml:space="preserve">  </w:t>
      </w:r>
      <w:r>
        <w:rPr>
          <w:color w:val="auto"/>
          <w:sz w:val="44"/>
          <w:szCs w:val="44"/>
          <w:highlight w:val="none"/>
          <w:lang w:val="zh-CN"/>
        </w:rPr>
        <w:t>录</w:t>
      </w:r>
    </w:p>
    <w:p>
      <w:pPr>
        <w:pStyle w:val="8"/>
        <w:tabs>
          <w:tab w:val="right" w:leader="dot" w:pos="8200"/>
        </w:tabs>
        <w:rPr>
          <w:color w:val="auto"/>
        </w:rPr>
      </w:pPr>
      <w:r>
        <w:rPr>
          <w:rFonts w:ascii="黑体" w:hAnsi="黑体" w:eastAsia="黑体"/>
          <w:color w:val="auto"/>
          <w:sz w:val="28"/>
          <w:szCs w:val="28"/>
          <w:highlight w:val="none"/>
        </w:rPr>
        <w:fldChar w:fldCharType="begin"/>
      </w:r>
      <w:r>
        <w:rPr>
          <w:rFonts w:ascii="黑体" w:hAnsi="黑体" w:eastAsia="黑体"/>
          <w:color w:val="auto"/>
          <w:sz w:val="28"/>
          <w:szCs w:val="28"/>
          <w:highlight w:val="none"/>
        </w:rPr>
        <w:instrText xml:space="preserve"> TOC \o "1-3" \h \z \u </w:instrText>
      </w:r>
      <w:r>
        <w:rPr>
          <w:rFonts w:ascii="黑体" w:hAnsi="黑体" w:eastAsia="黑体"/>
          <w:color w:val="auto"/>
          <w:sz w:val="28"/>
          <w:szCs w:val="28"/>
          <w:highlight w:val="none"/>
        </w:rPr>
        <w:fldChar w:fldCharType="separate"/>
      </w:r>
    </w:p>
    <w:p>
      <w:pPr>
        <w:pStyle w:val="8"/>
        <w:tabs>
          <w:tab w:val="right" w:leader="dot" w:pos="8200"/>
        </w:tabs>
        <w:rPr>
          <w:rFonts w:hint="eastAsia" w:ascii="仿宋_GB2312" w:hAnsi="仿宋_GB2312" w:eastAsia="仿宋_GB2312" w:cs="仿宋_GB2312"/>
          <w:color w:val="auto"/>
          <w:sz w:val="32"/>
          <w:szCs w:val="32"/>
        </w:rPr>
      </w:pPr>
      <w:r>
        <w:fldChar w:fldCharType="begin"/>
      </w:r>
      <w:r>
        <w:instrText xml:space="preserve"> HYPERLINK \l "_Toc16353" </w:instrText>
      </w:r>
      <w:r>
        <w:fldChar w:fldCharType="separate"/>
      </w:r>
      <w:r>
        <w:rPr>
          <w:rFonts w:hint="eastAsia" w:ascii="仿宋_GB2312" w:hAnsi="仿宋_GB2312" w:eastAsia="仿宋_GB2312" w:cs="仿宋_GB2312"/>
          <w:color w:val="auto"/>
          <w:sz w:val="32"/>
          <w:szCs w:val="32"/>
          <w:highlight w:val="none"/>
        </w:rPr>
        <w:t>第1章　定义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说明</w:t>
      </w:r>
      <w:r>
        <w:rPr>
          <w:rFonts w:hint="eastAsia" w:ascii="仿宋_GB2312" w:hAnsi="仿宋_GB2312" w:eastAsia="仿宋_GB2312" w:cs="仿宋_GB2312"/>
          <w:color w:val="auto"/>
          <w:sz w:val="32"/>
          <w:szCs w:val="32"/>
          <w:highlight w:val="none"/>
          <w:lang w:val="en-US" w:eastAsia="zh-CN"/>
        </w:rPr>
        <w:t>和风险提示</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_Toc16353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pStyle w:val="8"/>
        <w:tabs>
          <w:tab w:val="right" w:leader="dot" w:pos="8200"/>
        </w:tabs>
        <w:rPr>
          <w:rFonts w:hint="eastAsia" w:ascii="仿宋_GB2312" w:hAnsi="仿宋_GB2312" w:eastAsia="仿宋_GB2312" w:cs="仿宋_GB2312"/>
          <w:color w:val="auto"/>
          <w:sz w:val="32"/>
          <w:szCs w:val="32"/>
        </w:rPr>
      </w:pPr>
      <w:r>
        <w:fldChar w:fldCharType="begin"/>
      </w:r>
      <w:r>
        <w:instrText xml:space="preserve"> HYPERLINK \l "_Toc24936" </w:instrText>
      </w:r>
      <w:r>
        <w:fldChar w:fldCharType="separate"/>
      </w:r>
      <w:r>
        <w:rPr>
          <w:rFonts w:hint="eastAsia" w:ascii="仿宋_GB2312" w:hAnsi="仿宋_GB2312" w:eastAsia="仿宋_GB2312" w:cs="仿宋_GB2312"/>
          <w:color w:val="auto"/>
          <w:sz w:val="32"/>
          <w:szCs w:val="32"/>
          <w:highlight w:val="none"/>
        </w:rPr>
        <w:t>第2章　双方承诺</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_Toc24936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pStyle w:val="8"/>
        <w:tabs>
          <w:tab w:val="right" w:leader="dot" w:pos="8200"/>
        </w:tabs>
        <w:rPr>
          <w:rFonts w:hint="eastAsia" w:ascii="仿宋_GB2312" w:hAnsi="仿宋_GB2312" w:eastAsia="仿宋_GB2312" w:cs="仿宋_GB2312"/>
          <w:color w:val="auto"/>
          <w:sz w:val="32"/>
          <w:szCs w:val="32"/>
        </w:rPr>
      </w:pPr>
      <w:r>
        <w:fldChar w:fldCharType="begin"/>
      </w:r>
      <w:r>
        <w:instrText xml:space="preserve"> HYPERLINK \l "_Toc10893" </w:instrText>
      </w:r>
      <w:r>
        <w:fldChar w:fldCharType="separate"/>
      </w:r>
      <w:r>
        <w:rPr>
          <w:rFonts w:hint="eastAsia" w:ascii="仿宋_GB2312" w:hAnsi="仿宋_GB2312" w:eastAsia="仿宋_GB2312" w:cs="仿宋_GB2312"/>
          <w:color w:val="auto"/>
          <w:sz w:val="32"/>
          <w:szCs w:val="32"/>
          <w:highlight w:val="none"/>
        </w:rPr>
        <w:t>第3章　双方的权利和义务</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_Toc10893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pStyle w:val="8"/>
        <w:tabs>
          <w:tab w:val="right" w:leader="dot" w:pos="8200"/>
        </w:tabs>
        <w:rPr>
          <w:rFonts w:hint="eastAsia" w:ascii="仿宋_GB2312" w:hAnsi="仿宋_GB2312" w:eastAsia="仿宋_GB2312" w:cs="仿宋_GB2312"/>
          <w:color w:val="auto"/>
          <w:sz w:val="32"/>
          <w:szCs w:val="32"/>
        </w:rPr>
      </w:pPr>
      <w:r>
        <w:fldChar w:fldCharType="begin"/>
      </w:r>
      <w:r>
        <w:instrText xml:space="preserve"> HYPERLINK \l "_Toc25766" </w:instrText>
      </w:r>
      <w:r>
        <w:fldChar w:fldCharType="separate"/>
      </w:r>
      <w:r>
        <w:rPr>
          <w:rFonts w:hint="eastAsia" w:ascii="仿宋_GB2312" w:hAnsi="仿宋_GB2312" w:eastAsia="仿宋_GB2312" w:cs="仿宋_GB2312"/>
          <w:color w:val="auto"/>
          <w:sz w:val="32"/>
          <w:szCs w:val="32"/>
          <w:highlight w:val="none"/>
        </w:rPr>
        <w:t>第4章　结算事宜</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_Toc25766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pStyle w:val="8"/>
        <w:tabs>
          <w:tab w:val="right" w:leader="dot" w:pos="8200"/>
        </w:tabs>
        <w:rPr>
          <w:rFonts w:hint="eastAsia" w:ascii="仿宋_GB2312" w:hAnsi="仿宋_GB2312" w:eastAsia="仿宋_GB2312" w:cs="仿宋_GB2312"/>
          <w:color w:val="auto"/>
          <w:sz w:val="32"/>
          <w:szCs w:val="32"/>
        </w:rPr>
      </w:pPr>
      <w:r>
        <w:fldChar w:fldCharType="begin"/>
      </w:r>
      <w:r>
        <w:instrText xml:space="preserve"> HYPERLINK \l "_Toc1002" </w:instrText>
      </w:r>
      <w:r>
        <w:fldChar w:fldCharType="separate"/>
      </w:r>
      <w:r>
        <w:rPr>
          <w:rFonts w:hint="eastAsia" w:ascii="仿宋_GB2312" w:hAnsi="仿宋_GB2312" w:eastAsia="仿宋_GB2312" w:cs="仿宋_GB2312"/>
          <w:color w:val="auto"/>
          <w:sz w:val="32"/>
          <w:szCs w:val="32"/>
          <w:highlight w:val="none"/>
        </w:rPr>
        <w:t>第5章　电能计量</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_Toc1002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11</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pStyle w:val="8"/>
        <w:tabs>
          <w:tab w:val="right" w:leader="dot" w:pos="8200"/>
        </w:tabs>
        <w:rPr>
          <w:rFonts w:hint="eastAsia" w:ascii="仿宋_GB2312" w:hAnsi="仿宋_GB2312" w:eastAsia="仿宋_GB2312" w:cs="仿宋_GB2312"/>
          <w:color w:val="auto"/>
          <w:sz w:val="32"/>
          <w:szCs w:val="32"/>
        </w:rPr>
      </w:pPr>
      <w:r>
        <w:fldChar w:fldCharType="begin"/>
      </w:r>
      <w:r>
        <w:instrText xml:space="preserve"> HYPERLINK \l "_Toc31803" </w:instrText>
      </w:r>
      <w:r>
        <w:fldChar w:fldCharType="separate"/>
      </w:r>
      <w:r>
        <w:rPr>
          <w:rFonts w:hint="eastAsia" w:ascii="仿宋_GB2312" w:hAnsi="仿宋_GB2312" w:eastAsia="仿宋_GB2312" w:cs="仿宋_GB2312"/>
          <w:color w:val="auto"/>
          <w:sz w:val="32"/>
          <w:szCs w:val="32"/>
          <w:highlight w:val="none"/>
        </w:rPr>
        <w:t>第6章  合同生效和期限</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_Toc31803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pStyle w:val="8"/>
        <w:tabs>
          <w:tab w:val="right" w:leader="dot" w:pos="8200"/>
        </w:tabs>
        <w:rPr>
          <w:rFonts w:hint="eastAsia" w:ascii="仿宋_GB2312" w:hAnsi="仿宋_GB2312" w:eastAsia="仿宋_GB2312" w:cs="仿宋_GB2312"/>
          <w:color w:val="auto"/>
          <w:sz w:val="32"/>
          <w:szCs w:val="32"/>
        </w:rPr>
      </w:pPr>
      <w:r>
        <w:fldChar w:fldCharType="begin"/>
      </w:r>
      <w:r>
        <w:instrText xml:space="preserve"> HYPERLINK \l "_Toc30555" </w:instrText>
      </w:r>
      <w:r>
        <w:fldChar w:fldCharType="separate"/>
      </w:r>
      <w:r>
        <w:rPr>
          <w:rFonts w:hint="eastAsia" w:ascii="仿宋_GB2312" w:hAnsi="仿宋_GB2312" w:eastAsia="仿宋_GB2312" w:cs="仿宋_GB2312"/>
          <w:color w:val="auto"/>
          <w:sz w:val="32"/>
          <w:szCs w:val="32"/>
          <w:highlight w:val="none"/>
        </w:rPr>
        <w:t>第7章  合同变更和解除</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_Toc30555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pStyle w:val="8"/>
        <w:tabs>
          <w:tab w:val="right" w:leader="dot" w:pos="8200"/>
        </w:tabs>
        <w:rPr>
          <w:rFonts w:hint="eastAsia" w:ascii="仿宋_GB2312" w:hAnsi="仿宋_GB2312" w:eastAsia="仿宋_GB2312" w:cs="仿宋_GB2312"/>
          <w:color w:val="auto"/>
          <w:sz w:val="32"/>
          <w:szCs w:val="32"/>
        </w:rPr>
      </w:pPr>
      <w:r>
        <w:fldChar w:fldCharType="begin"/>
      </w:r>
      <w:r>
        <w:instrText xml:space="preserve"> HYPERLINK \l "_Toc28721" </w:instrText>
      </w:r>
      <w:r>
        <w:fldChar w:fldCharType="separate"/>
      </w:r>
      <w:r>
        <w:rPr>
          <w:rFonts w:hint="eastAsia" w:ascii="仿宋_GB2312" w:hAnsi="仿宋_GB2312" w:eastAsia="仿宋_GB2312" w:cs="仿宋_GB2312"/>
          <w:color w:val="auto"/>
          <w:sz w:val="32"/>
          <w:szCs w:val="32"/>
          <w:highlight w:val="none"/>
        </w:rPr>
        <w:t>第8章　合同违约和赔偿</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_Toc28721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13</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pStyle w:val="8"/>
        <w:tabs>
          <w:tab w:val="right" w:leader="dot" w:pos="8200"/>
        </w:tabs>
        <w:rPr>
          <w:rFonts w:hint="eastAsia" w:ascii="仿宋_GB2312" w:hAnsi="仿宋_GB2312" w:eastAsia="仿宋_GB2312" w:cs="仿宋_GB2312"/>
          <w:color w:val="auto"/>
          <w:sz w:val="32"/>
          <w:szCs w:val="32"/>
        </w:rPr>
      </w:pPr>
      <w:r>
        <w:fldChar w:fldCharType="begin"/>
      </w:r>
      <w:r>
        <w:instrText xml:space="preserve"> HYPERLINK \l "_Toc17337" </w:instrText>
      </w:r>
      <w:r>
        <w:fldChar w:fldCharType="separate"/>
      </w:r>
      <w:r>
        <w:rPr>
          <w:rFonts w:hint="eastAsia" w:ascii="仿宋_GB2312" w:hAnsi="仿宋_GB2312" w:eastAsia="仿宋_GB2312" w:cs="仿宋_GB2312"/>
          <w:color w:val="auto"/>
          <w:sz w:val="32"/>
          <w:szCs w:val="32"/>
          <w:highlight w:val="none"/>
        </w:rPr>
        <w:t>第9章　免责条款</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_Toc17337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14</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pStyle w:val="8"/>
        <w:tabs>
          <w:tab w:val="right" w:leader="dot" w:pos="8200"/>
        </w:tabs>
        <w:rPr>
          <w:rFonts w:hint="eastAsia" w:ascii="仿宋_GB2312" w:hAnsi="仿宋_GB2312" w:eastAsia="仿宋_GB2312" w:cs="仿宋_GB2312"/>
          <w:color w:val="auto"/>
          <w:sz w:val="32"/>
          <w:szCs w:val="32"/>
        </w:rPr>
      </w:pPr>
      <w:r>
        <w:fldChar w:fldCharType="begin"/>
      </w:r>
      <w:r>
        <w:instrText xml:space="preserve"> HYPERLINK \l "_Toc22773" </w:instrText>
      </w:r>
      <w:r>
        <w:fldChar w:fldCharType="separate"/>
      </w:r>
      <w:r>
        <w:rPr>
          <w:rFonts w:hint="eastAsia" w:ascii="仿宋_GB2312" w:hAnsi="仿宋_GB2312" w:eastAsia="仿宋_GB2312" w:cs="仿宋_GB2312"/>
          <w:color w:val="auto"/>
          <w:sz w:val="32"/>
          <w:szCs w:val="32"/>
          <w:highlight w:val="none"/>
        </w:rPr>
        <w:t>第10章　争议的解决</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_Toc22773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15</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pStyle w:val="8"/>
        <w:tabs>
          <w:tab w:val="right" w:leader="dot" w:pos="8200"/>
        </w:tabs>
        <w:rPr>
          <w:color w:val="auto"/>
        </w:rPr>
      </w:pPr>
      <w:r>
        <w:fldChar w:fldCharType="begin"/>
      </w:r>
      <w:r>
        <w:instrText xml:space="preserve"> HYPERLINK \l "_Toc19447" </w:instrText>
      </w:r>
      <w:r>
        <w:fldChar w:fldCharType="separate"/>
      </w:r>
      <w:r>
        <w:rPr>
          <w:rFonts w:hint="eastAsia" w:ascii="仿宋_GB2312" w:hAnsi="仿宋_GB2312" w:eastAsia="仿宋_GB2312" w:cs="仿宋_GB2312"/>
          <w:color w:val="auto"/>
          <w:sz w:val="32"/>
          <w:szCs w:val="32"/>
          <w:highlight w:val="none"/>
        </w:rPr>
        <w:t>第11章　其他</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_Toc19447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15</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spacing w:line="600" w:lineRule="exact"/>
        <w:rPr>
          <w:rFonts w:ascii="黑体" w:hAnsi="黑体" w:eastAsia="黑体"/>
          <w:color w:val="auto"/>
          <w:sz w:val="28"/>
          <w:szCs w:val="28"/>
          <w:highlight w:val="none"/>
        </w:rPr>
      </w:pPr>
      <w:r>
        <w:rPr>
          <w:rFonts w:ascii="黑体" w:hAnsi="黑体" w:eastAsia="黑体"/>
          <w:bCs/>
          <w:color w:val="auto"/>
          <w:szCs w:val="28"/>
          <w:highlight w:val="none"/>
          <w:lang w:val="zh-CN"/>
        </w:rPr>
        <w:fldChar w:fldCharType="end"/>
      </w:r>
    </w:p>
    <w:p>
      <w:pPr>
        <w:spacing w:line="600" w:lineRule="exact"/>
        <w:jc w:val="center"/>
        <w:rPr>
          <w:rFonts w:ascii="黑体" w:hAnsi="黑体" w:eastAsia="黑体" w:cs="黑体"/>
          <w:color w:val="auto"/>
          <w:sz w:val="28"/>
          <w:szCs w:val="28"/>
          <w:highlight w:val="none"/>
        </w:rPr>
        <w:sectPr>
          <w:footerReference r:id="rId8" w:type="default"/>
          <w:pgSz w:w="11906" w:h="16838"/>
          <w:pgMar w:top="1440" w:right="1886" w:bottom="1440" w:left="182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outlineLvl w:val="9"/>
        <w:rPr>
          <w:rFonts w:ascii="宋体" w:hAnsi="宋体"/>
          <w:color w:val="auto"/>
          <w:sz w:val="28"/>
          <w:szCs w:val="28"/>
          <w:highlight w:val="none"/>
        </w:rPr>
      </w:pPr>
      <w:bookmarkStart w:id="0" w:name="_Toc474141909"/>
      <w:bookmarkStart w:id="1" w:name="_Toc12797"/>
      <w:bookmarkStart w:id="2" w:name="_Toc20560"/>
      <w:bookmarkStart w:id="3" w:name="_Toc6874"/>
      <w:bookmarkStart w:id="4" w:name="_Toc12400"/>
      <w:r>
        <w:rPr>
          <w:rFonts w:hint="eastAsia" w:ascii="宋体" w:hAnsi="宋体"/>
          <w:color w:val="auto"/>
          <w:sz w:val="28"/>
          <w:szCs w:val="28"/>
          <w:highlight w:val="none"/>
        </w:rPr>
        <w:t>本合同</w:t>
      </w:r>
      <w:r>
        <w:rPr>
          <w:rFonts w:ascii="宋体" w:hAnsi="宋体"/>
          <w:color w:val="auto"/>
          <w:sz w:val="28"/>
          <w:szCs w:val="28"/>
          <w:highlight w:val="none"/>
        </w:rPr>
        <w:t>由下列</w:t>
      </w:r>
      <w:r>
        <w:rPr>
          <w:rFonts w:hint="eastAsia" w:ascii="宋体" w:hAnsi="宋体"/>
          <w:color w:val="auto"/>
          <w:sz w:val="28"/>
          <w:szCs w:val="28"/>
          <w:highlight w:val="none"/>
        </w:rPr>
        <w:t>双</w:t>
      </w:r>
      <w:r>
        <w:rPr>
          <w:rFonts w:ascii="宋体" w:hAnsi="宋体"/>
          <w:color w:val="auto"/>
          <w:sz w:val="28"/>
          <w:szCs w:val="28"/>
          <w:highlight w:val="none"/>
        </w:rPr>
        <w:t>方签署：</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outlineLvl w:val="9"/>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1</w:t>
      </w:r>
      <w:r>
        <w:rPr>
          <w:rFonts w:ascii="宋体" w:hAnsi="宋体"/>
          <w:color w:val="auto"/>
          <w:sz w:val="28"/>
          <w:szCs w:val="28"/>
          <w:highlight w:val="none"/>
        </w:rPr>
        <w:t>）</w:t>
      </w:r>
      <w:r>
        <w:rPr>
          <w:rFonts w:hint="eastAsia" w:ascii="宋体" w:hAnsi="宋体"/>
          <w:color w:val="auto"/>
          <w:sz w:val="28"/>
          <w:szCs w:val="28"/>
          <w:highlight w:val="none"/>
        </w:rPr>
        <w:t>甲方</w:t>
      </w:r>
      <w:r>
        <w:rPr>
          <w:rFonts w:ascii="宋体" w:hAnsi="宋体"/>
          <w:color w:val="auto"/>
          <w:sz w:val="28"/>
          <w:szCs w:val="28"/>
          <w:highlight w:val="none"/>
        </w:rPr>
        <w:t>（</w:t>
      </w:r>
      <w:r>
        <w:rPr>
          <w:rFonts w:hint="eastAsia" w:ascii="宋体" w:hAnsi="宋体"/>
          <w:color w:val="auto"/>
          <w:sz w:val="28"/>
          <w:szCs w:val="28"/>
          <w:highlight w:val="none"/>
        </w:rPr>
        <w:t>即</w:t>
      </w:r>
      <w:r>
        <w:rPr>
          <w:rFonts w:ascii="宋体" w:hAnsi="宋体"/>
          <w:color w:val="auto"/>
          <w:sz w:val="28"/>
          <w:szCs w:val="28"/>
          <w:highlight w:val="none"/>
        </w:rPr>
        <w:t>电力用户）：</w:t>
      </w:r>
      <w:r>
        <w:rPr>
          <w:rFonts w:hint="eastAsia" w:ascii="宋体" w:hAnsi="宋体"/>
          <w:color w:val="auto"/>
          <w:sz w:val="28"/>
          <w:szCs w:val="28"/>
          <w:highlight w:val="none"/>
          <w:u w:val="single"/>
        </w:rPr>
        <w:t xml:space="preserve">                </w:t>
      </w:r>
      <w:r>
        <w:rPr>
          <w:rFonts w:ascii="宋体" w:hAnsi="宋体"/>
          <w:color w:val="auto"/>
          <w:sz w:val="28"/>
          <w:szCs w:val="28"/>
          <w:highlight w:val="none"/>
        </w:rPr>
        <w:t>，</w:t>
      </w:r>
      <w:r>
        <w:rPr>
          <w:rFonts w:hint="eastAsia" w:ascii="宋体" w:hAnsi="宋体"/>
          <w:color w:val="auto"/>
          <w:sz w:val="28"/>
          <w:szCs w:val="28"/>
          <w:highlight w:val="none"/>
        </w:rPr>
        <w:t>电压等级：</w:t>
      </w:r>
      <w:r>
        <w:rPr>
          <w:rFonts w:hint="eastAsia" w:ascii="宋体" w:hAnsi="宋体"/>
          <w:color w:val="auto"/>
          <w:sz w:val="28"/>
          <w:szCs w:val="28"/>
          <w:highlight w:val="none"/>
          <w:u w:val="single"/>
        </w:rPr>
        <w:t xml:space="preserve">      ，</w:t>
      </w:r>
      <w:r>
        <w:rPr>
          <w:rFonts w:ascii="宋体" w:hAnsi="宋体"/>
          <w:color w:val="auto"/>
          <w:sz w:val="28"/>
          <w:szCs w:val="28"/>
          <w:highlight w:val="none"/>
        </w:rPr>
        <w:t>企业所在地为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w:t>
      </w:r>
      <w:r>
        <w:rPr>
          <w:rFonts w:ascii="宋体" w:hAnsi="宋体"/>
          <w:color w:val="auto"/>
          <w:sz w:val="28"/>
          <w:szCs w:val="28"/>
          <w:highlight w:val="none"/>
        </w:rPr>
        <w:t>在工商行政管理局</w:t>
      </w:r>
      <w:r>
        <w:rPr>
          <w:rFonts w:hint="eastAsia" w:ascii="宋体" w:hAnsi="宋体"/>
          <w:color w:val="auto"/>
          <w:sz w:val="28"/>
          <w:szCs w:val="28"/>
          <w:highlight w:val="none"/>
          <w:lang w:val="en-US" w:eastAsia="zh-CN"/>
        </w:rPr>
        <w:t>/市场监督管理机构</w:t>
      </w:r>
      <w:r>
        <w:rPr>
          <w:rFonts w:ascii="宋体" w:hAnsi="宋体"/>
          <w:color w:val="auto"/>
          <w:sz w:val="28"/>
          <w:szCs w:val="28"/>
          <w:highlight w:val="none"/>
        </w:rPr>
        <w:t>登记注册，统一社会信用代码（</w:t>
      </w:r>
      <w:r>
        <w:rPr>
          <w:rFonts w:hint="eastAsia" w:ascii="宋体" w:hAnsi="宋体"/>
          <w:color w:val="auto"/>
          <w:sz w:val="28"/>
          <w:szCs w:val="28"/>
          <w:highlight w:val="none"/>
        </w:rPr>
        <w:t>组织机构代码</w:t>
      </w:r>
      <w:r>
        <w:rPr>
          <w:rFonts w:ascii="宋体" w:hAnsi="宋体"/>
          <w:color w:val="auto"/>
          <w:sz w:val="28"/>
          <w:szCs w:val="28"/>
          <w:highlight w:val="none"/>
        </w:rPr>
        <w:t>）：</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，法定代表人（企业负责人）：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，户号包括：</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w:t>
      </w:r>
    </w:p>
    <w:p>
      <w:pPr>
        <w:pStyle w:val="4"/>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562" w:firstLineChars="200"/>
        <w:jc w:val="both"/>
        <w:textAlignment w:val="auto"/>
        <w:outlineLvl w:val="9"/>
        <w:rPr>
          <w:rFonts w:ascii="宋体" w:hAnsi="宋体" w:eastAsia="宋体" w:cs="宋体"/>
          <w:color w:val="auto"/>
          <w:sz w:val="28"/>
          <w:szCs w:val="28"/>
          <w:highlight w:val="none"/>
        </w:rPr>
      </w:pPr>
      <w:bookmarkStart w:id="5" w:name="_Toc21869"/>
      <w:r>
        <w:rPr>
          <w:rFonts w:hint="eastAsia" w:ascii="宋体" w:hAnsi="宋体" w:eastAsia="宋体" w:cs="宋体"/>
          <w:color w:val="auto"/>
          <w:sz w:val="28"/>
          <w:szCs w:val="28"/>
          <w:highlight w:val="none"/>
        </w:rPr>
        <w:t>甲方联络通讯信息：</w:t>
      </w:r>
      <w:bookmarkEnd w:id="5"/>
    </w:p>
    <w:p>
      <w:pPr>
        <w:pStyle w:val="4"/>
        <w:keepNext w:val="0"/>
        <w:keepLines w:val="0"/>
        <w:pageBreakBefore w:val="0"/>
        <w:widowControl w:val="0"/>
        <w:tabs>
          <w:tab w:val="left" w:pos="1175"/>
          <w:tab w:val="left" w:pos="4684"/>
          <w:tab w:val="left" w:pos="9169"/>
        </w:tabs>
        <w:kinsoku/>
        <w:wordWrap/>
        <w:overflowPunct/>
        <w:topLinePunct w:val="0"/>
        <w:autoSpaceDE/>
        <w:autoSpaceDN/>
        <w:bidi w:val="0"/>
        <w:adjustRightInd/>
        <w:snapToGrid/>
        <w:spacing w:before="0" w:after="0" w:line="600" w:lineRule="exact"/>
        <w:ind w:left="0" w:leftChars="0" w:firstLine="560" w:firstLineChars="200"/>
        <w:jc w:val="both"/>
        <w:textAlignment w:val="auto"/>
        <w:outlineLvl w:val="9"/>
        <w:rPr>
          <w:rFonts w:ascii="宋体" w:hAnsi="宋体" w:eastAsia="宋体" w:cs="宋体"/>
          <w:b w:val="0"/>
          <w:bCs w:val="0"/>
          <w:color w:val="auto"/>
          <w:sz w:val="28"/>
          <w:szCs w:val="28"/>
          <w:highlight w:val="none"/>
          <w:u w:val="single"/>
          <w:lang w:val="en-US"/>
        </w:rPr>
      </w:pPr>
      <w:bookmarkStart w:id="6" w:name="_Toc2169"/>
      <w:r>
        <w:rPr>
          <w:rFonts w:hint="eastAsia" w:ascii="宋体" w:hAnsi="宋体" w:eastAsia="宋体" w:cs="宋体"/>
          <w:b w:val="0"/>
          <w:bCs w:val="0"/>
          <w:color w:val="auto"/>
          <w:sz w:val="28"/>
          <w:szCs w:val="28"/>
          <w:highlight w:val="none"/>
        </w:rPr>
        <w:t>联系人：</w:t>
      </w:r>
      <w:r>
        <w:rPr>
          <w:rFonts w:hint="eastAsia" w:ascii="宋体" w:hAnsi="宋体" w:eastAsia="宋体" w:cs="宋体"/>
          <w:b w:val="0"/>
          <w:bCs w:val="0"/>
          <w:color w:val="auto"/>
          <w:sz w:val="28"/>
          <w:szCs w:val="28"/>
          <w:highlight w:val="none"/>
          <w:u w:val="single"/>
          <w:lang w:val="en-US"/>
        </w:rPr>
        <w:t xml:space="preserve">                   </w:t>
      </w:r>
      <w:r>
        <w:rPr>
          <w:rFonts w:hint="eastAsia" w:ascii="宋体" w:hAnsi="宋体" w:eastAsia="宋体" w:cs="宋体"/>
          <w:b w:val="0"/>
          <w:bCs w:val="0"/>
          <w:color w:val="auto"/>
          <w:sz w:val="28"/>
          <w:szCs w:val="28"/>
          <w:highlight w:val="none"/>
          <w:lang w:val="en-US"/>
        </w:rPr>
        <w:t xml:space="preserve">  电子邮箱：</w:t>
      </w:r>
      <w:bookmarkEnd w:id="6"/>
      <w:r>
        <w:rPr>
          <w:rFonts w:hint="eastAsia" w:ascii="宋体" w:hAnsi="宋体" w:eastAsia="宋体" w:cs="宋体"/>
          <w:b w:val="0"/>
          <w:bCs w:val="0"/>
          <w:color w:val="auto"/>
          <w:sz w:val="28"/>
          <w:szCs w:val="28"/>
          <w:highlight w:val="none"/>
          <w:u w:val="single"/>
          <w:lang w:val="en-US"/>
        </w:rPr>
        <w:t xml:space="preserve">                    </w:t>
      </w:r>
    </w:p>
    <w:p>
      <w:pPr>
        <w:pStyle w:val="4"/>
        <w:keepNext w:val="0"/>
        <w:keepLines w:val="0"/>
        <w:pageBreakBefore w:val="0"/>
        <w:widowControl w:val="0"/>
        <w:tabs>
          <w:tab w:val="left" w:pos="1175"/>
          <w:tab w:val="left" w:pos="4684"/>
          <w:tab w:val="left" w:pos="9169"/>
        </w:tabs>
        <w:kinsoku/>
        <w:wordWrap/>
        <w:overflowPunct/>
        <w:topLinePunct w:val="0"/>
        <w:autoSpaceDE/>
        <w:autoSpaceDN/>
        <w:bidi w:val="0"/>
        <w:adjustRightInd/>
        <w:snapToGrid/>
        <w:spacing w:before="0" w:after="0" w:line="600" w:lineRule="exact"/>
        <w:ind w:left="0" w:leftChars="0" w:firstLine="560" w:firstLineChars="200"/>
        <w:jc w:val="both"/>
        <w:textAlignment w:val="auto"/>
        <w:outlineLvl w:val="9"/>
        <w:rPr>
          <w:rFonts w:ascii="宋体" w:hAnsi="宋体" w:eastAsia="宋体" w:cs="宋体"/>
          <w:b w:val="0"/>
          <w:bCs w:val="0"/>
          <w:color w:val="auto"/>
          <w:spacing w:val="15"/>
          <w:sz w:val="28"/>
          <w:szCs w:val="28"/>
          <w:highlight w:val="none"/>
          <w:u w:val="single"/>
          <w:lang w:val="en-US"/>
        </w:rPr>
      </w:pPr>
      <w:bookmarkStart w:id="7" w:name="_Toc26046"/>
      <w:r>
        <w:rPr>
          <w:rFonts w:hint="eastAsia" w:ascii="宋体" w:hAnsi="宋体" w:eastAsia="宋体" w:cs="宋体"/>
          <w:b w:val="0"/>
          <w:bCs w:val="0"/>
          <w:color w:val="auto"/>
          <w:sz w:val="28"/>
          <w:szCs w:val="28"/>
          <w:highlight w:val="none"/>
        </w:rPr>
        <w:t>电话：</w:t>
      </w:r>
      <w:r>
        <w:rPr>
          <w:rFonts w:hint="eastAsia" w:ascii="宋体" w:hAnsi="宋体" w:eastAsia="宋体" w:cs="宋体"/>
          <w:b w:val="0"/>
          <w:bCs w:val="0"/>
          <w:color w:val="auto"/>
          <w:sz w:val="28"/>
          <w:szCs w:val="28"/>
          <w:highlight w:val="none"/>
          <w:u w:val="single"/>
          <w:lang w:val="en-US"/>
        </w:rPr>
        <w:t xml:space="preserve">                   </w:t>
      </w:r>
      <w:r>
        <w:rPr>
          <w:rFonts w:hint="eastAsia" w:ascii="宋体" w:hAnsi="宋体" w:eastAsia="宋体" w:cs="宋体"/>
          <w:b w:val="0"/>
          <w:bCs w:val="0"/>
          <w:color w:val="auto"/>
          <w:sz w:val="28"/>
          <w:szCs w:val="28"/>
          <w:highlight w:val="none"/>
          <w:lang w:val="en-US"/>
        </w:rPr>
        <w:t xml:space="preserve">  </w:t>
      </w:r>
      <w:r>
        <w:rPr>
          <w:rFonts w:hint="eastAsia" w:ascii="宋体" w:hAnsi="宋体" w:eastAsia="宋体" w:cs="宋体"/>
          <w:b w:val="0"/>
          <w:bCs w:val="0"/>
          <w:color w:val="auto"/>
          <w:sz w:val="28"/>
          <w:szCs w:val="28"/>
          <w:highlight w:val="none"/>
        </w:rPr>
        <w:t>传真</w:t>
      </w:r>
      <w:r>
        <w:rPr>
          <w:rFonts w:hint="eastAsia" w:ascii="宋体" w:hAnsi="宋体" w:eastAsia="宋体" w:cs="宋体"/>
          <w:b w:val="0"/>
          <w:bCs w:val="0"/>
          <w:color w:val="auto"/>
          <w:spacing w:val="15"/>
          <w:sz w:val="28"/>
          <w:szCs w:val="28"/>
          <w:highlight w:val="none"/>
        </w:rPr>
        <w:t>：</w:t>
      </w:r>
      <w:bookmarkEnd w:id="7"/>
      <w:r>
        <w:rPr>
          <w:rFonts w:hint="eastAsia" w:ascii="宋体" w:hAnsi="宋体" w:eastAsia="宋体" w:cs="宋体"/>
          <w:b w:val="0"/>
          <w:bCs w:val="0"/>
          <w:color w:val="auto"/>
          <w:spacing w:val="15"/>
          <w:sz w:val="28"/>
          <w:szCs w:val="28"/>
          <w:highlight w:val="none"/>
          <w:u w:val="single"/>
          <w:lang w:val="en-US"/>
        </w:rPr>
        <w:t xml:space="preserve">                  </w:t>
      </w:r>
    </w:p>
    <w:p>
      <w:pPr>
        <w:pStyle w:val="4"/>
        <w:keepNext w:val="0"/>
        <w:keepLines w:val="0"/>
        <w:pageBreakBefore w:val="0"/>
        <w:widowControl w:val="0"/>
        <w:tabs>
          <w:tab w:val="left" w:pos="1175"/>
          <w:tab w:val="left" w:pos="4684"/>
          <w:tab w:val="left" w:pos="9169"/>
        </w:tabs>
        <w:kinsoku/>
        <w:wordWrap/>
        <w:overflowPunct/>
        <w:topLinePunct w:val="0"/>
        <w:autoSpaceDE/>
        <w:autoSpaceDN/>
        <w:bidi w:val="0"/>
        <w:adjustRightInd/>
        <w:snapToGrid/>
        <w:spacing w:before="0" w:after="0" w:line="600" w:lineRule="exact"/>
        <w:ind w:left="0" w:leftChars="0" w:firstLine="560" w:firstLineChars="200"/>
        <w:textAlignment w:val="auto"/>
        <w:outlineLvl w:val="9"/>
        <w:rPr>
          <w:rFonts w:ascii="Times New Roman" w:eastAsia="Times New Roman"/>
          <w:b w:val="0"/>
          <w:bCs w:val="0"/>
          <w:color w:val="auto"/>
          <w:highlight w:val="none"/>
        </w:rPr>
      </w:pPr>
      <w:bookmarkStart w:id="8" w:name="_Toc26491_WPSOffice_Level1"/>
      <w:bookmarkStart w:id="9" w:name="_Toc27226_WPSOffice_Level1"/>
      <w:bookmarkStart w:id="10" w:name="_Toc5628_WPSOffice_Level1"/>
      <w:bookmarkStart w:id="11" w:name="_Toc27493"/>
      <w:bookmarkStart w:id="12" w:name="_Toc31020_WPSOffice_Level1"/>
      <w:r>
        <w:rPr>
          <w:rFonts w:hint="eastAsia" w:ascii="宋体" w:hAnsi="宋体" w:eastAsia="宋体" w:cs="宋体"/>
          <w:b w:val="0"/>
          <w:bCs w:val="0"/>
          <w:color w:val="auto"/>
          <w:sz w:val="28"/>
          <w:szCs w:val="28"/>
          <w:highlight w:val="none"/>
        </w:rPr>
        <w:t>联</w:t>
      </w:r>
      <w:r>
        <w:rPr>
          <w:rFonts w:hint="eastAsia" w:ascii="宋体" w:hAnsi="宋体" w:eastAsia="宋体" w:cs="宋体"/>
          <w:b w:val="0"/>
          <w:bCs w:val="0"/>
          <w:color w:val="auto"/>
          <w:spacing w:val="15"/>
          <w:sz w:val="28"/>
          <w:szCs w:val="28"/>
          <w:highlight w:val="none"/>
        </w:rPr>
        <w:t>系</w:t>
      </w:r>
      <w:r>
        <w:rPr>
          <w:rFonts w:hint="eastAsia" w:ascii="宋体" w:hAnsi="宋体" w:eastAsia="宋体" w:cs="宋体"/>
          <w:b w:val="0"/>
          <w:bCs w:val="0"/>
          <w:color w:val="auto"/>
          <w:spacing w:val="-145"/>
          <w:sz w:val="28"/>
          <w:szCs w:val="28"/>
          <w:highlight w:val="none"/>
        </w:rPr>
        <w:t xml:space="preserve"> </w:t>
      </w:r>
      <w:r>
        <w:rPr>
          <w:rFonts w:hint="eastAsia" w:ascii="宋体" w:hAnsi="宋体" w:eastAsia="宋体" w:cs="宋体"/>
          <w:b w:val="0"/>
          <w:bCs w:val="0"/>
          <w:color w:val="auto"/>
          <w:sz w:val="28"/>
          <w:szCs w:val="28"/>
          <w:highlight w:val="none"/>
        </w:rPr>
        <w:t>地址</w:t>
      </w:r>
      <w:r>
        <w:rPr>
          <w:rFonts w:hint="eastAsia" w:ascii="宋体" w:hAnsi="宋体" w:eastAsia="宋体" w:cs="宋体"/>
          <w:b w:val="0"/>
          <w:bCs w:val="0"/>
          <w:color w:val="auto"/>
          <w:spacing w:val="15"/>
          <w:sz w:val="28"/>
          <w:szCs w:val="28"/>
          <w:highlight w:val="none"/>
        </w:rPr>
        <w:t>：</w:t>
      </w:r>
      <w:bookmarkEnd w:id="8"/>
      <w:bookmarkEnd w:id="9"/>
      <w:bookmarkEnd w:id="10"/>
      <w:bookmarkEnd w:id="11"/>
      <w:bookmarkEnd w:id="12"/>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rPr>
        <w:tab/>
      </w:r>
      <w:r>
        <w:rPr>
          <w:rFonts w:hint="eastAsia" w:ascii="宋体" w:hAnsi="宋体" w:eastAsia="宋体" w:cs="宋体"/>
          <w:b w:val="0"/>
          <w:bCs w:val="0"/>
          <w:color w:val="auto"/>
          <w:sz w:val="28"/>
          <w:szCs w:val="28"/>
          <w:highlight w:val="none"/>
          <w:u w:val="single"/>
        </w:rPr>
        <w:tab/>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left="0" w:leftChars="0" w:firstLine="560" w:firstLineChars="200"/>
        <w:textAlignment w:val="auto"/>
        <w:outlineLvl w:val="9"/>
        <w:rPr>
          <w:rFonts w:ascii="宋体" w:hAnsi="宋体"/>
          <w:color w:val="auto"/>
          <w:sz w:val="28"/>
          <w:szCs w:val="28"/>
          <w:highlight w:val="none"/>
        </w:rPr>
      </w:pPr>
      <w:r>
        <w:rPr>
          <w:rFonts w:hint="eastAsia" w:ascii="宋体" w:hAnsi="宋体"/>
          <w:color w:val="auto"/>
          <w:sz w:val="28"/>
          <w:szCs w:val="28"/>
          <w:highlight w:val="none"/>
        </w:rPr>
        <w:t>（2）乙方</w:t>
      </w:r>
      <w:r>
        <w:rPr>
          <w:rFonts w:ascii="宋体" w:hAnsi="宋体"/>
          <w:color w:val="auto"/>
          <w:sz w:val="28"/>
          <w:szCs w:val="28"/>
          <w:highlight w:val="none"/>
        </w:rPr>
        <w:t>（</w:t>
      </w:r>
      <w:r>
        <w:rPr>
          <w:rFonts w:hint="eastAsia" w:ascii="宋体" w:hAnsi="宋体"/>
          <w:color w:val="auto"/>
          <w:sz w:val="28"/>
          <w:szCs w:val="28"/>
          <w:highlight w:val="none"/>
        </w:rPr>
        <w:t>即售电公司</w:t>
      </w:r>
      <w:r>
        <w:rPr>
          <w:rFonts w:ascii="宋体" w:hAnsi="宋体"/>
          <w:color w:val="auto"/>
          <w:sz w:val="28"/>
          <w:szCs w:val="28"/>
          <w:highlight w:val="none"/>
        </w:rPr>
        <w:t>）：</w:t>
      </w:r>
      <w:r>
        <w:rPr>
          <w:rFonts w:hint="eastAsia" w:ascii="宋体" w:hAnsi="宋体"/>
          <w:color w:val="auto"/>
          <w:sz w:val="28"/>
          <w:szCs w:val="28"/>
          <w:highlight w:val="none"/>
          <w:u w:val="single"/>
        </w:rPr>
        <w:t xml:space="preserve">                </w:t>
      </w:r>
      <w:r>
        <w:rPr>
          <w:rFonts w:ascii="宋体" w:hAnsi="宋体"/>
          <w:color w:val="auto"/>
          <w:sz w:val="28"/>
          <w:szCs w:val="28"/>
          <w:highlight w:val="none"/>
        </w:rPr>
        <w:t>，</w:t>
      </w:r>
      <w:r>
        <w:rPr>
          <w:rFonts w:hint="eastAsia" w:ascii="宋体" w:hAnsi="宋体"/>
          <w:color w:val="auto"/>
          <w:sz w:val="28"/>
          <w:szCs w:val="28"/>
          <w:highlight w:val="none"/>
        </w:rPr>
        <w:t>企业代码：</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w:t>
      </w:r>
      <w:r>
        <w:rPr>
          <w:rFonts w:ascii="宋体" w:hAnsi="宋体"/>
          <w:color w:val="auto"/>
          <w:sz w:val="28"/>
          <w:szCs w:val="28"/>
          <w:highlight w:val="none"/>
        </w:rPr>
        <w:t>企业所在地为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w:t>
      </w:r>
      <w:r>
        <w:rPr>
          <w:rFonts w:ascii="宋体" w:hAnsi="宋体"/>
          <w:color w:val="auto"/>
          <w:sz w:val="28"/>
          <w:szCs w:val="28"/>
          <w:highlight w:val="none"/>
        </w:rPr>
        <w:t>在工商行政管理局</w:t>
      </w:r>
      <w:r>
        <w:rPr>
          <w:rFonts w:hint="eastAsia" w:ascii="宋体" w:hAnsi="宋体"/>
          <w:color w:val="auto"/>
          <w:sz w:val="28"/>
          <w:szCs w:val="28"/>
          <w:highlight w:val="none"/>
          <w:lang w:val="en-US" w:eastAsia="zh-CN"/>
        </w:rPr>
        <w:t>/市场监督管理机构</w:t>
      </w:r>
      <w:r>
        <w:rPr>
          <w:rFonts w:ascii="宋体" w:hAnsi="宋体"/>
          <w:color w:val="auto"/>
          <w:sz w:val="28"/>
          <w:szCs w:val="28"/>
          <w:highlight w:val="none"/>
        </w:rPr>
        <w:t>登记注册，</w:t>
      </w:r>
      <w:r>
        <w:rPr>
          <w:rFonts w:hint="eastAsia" w:ascii="宋体" w:hAnsi="宋体"/>
          <w:color w:val="auto"/>
          <w:sz w:val="28"/>
          <w:szCs w:val="28"/>
          <w:highlight w:val="none"/>
        </w:rPr>
        <w:t>已按相关法规要求完成“一注册、一承诺、一公示、三备案”流程，按规定履行交易信用保证，具备售电资格，</w:t>
      </w:r>
      <w:r>
        <w:rPr>
          <w:rFonts w:ascii="宋体" w:hAnsi="宋体"/>
          <w:color w:val="auto"/>
          <w:sz w:val="28"/>
          <w:szCs w:val="28"/>
          <w:highlight w:val="none"/>
        </w:rPr>
        <w:t>统一社会信用代码（</w:t>
      </w:r>
      <w:r>
        <w:rPr>
          <w:rFonts w:hint="eastAsia" w:ascii="宋体" w:hAnsi="宋体"/>
          <w:color w:val="auto"/>
          <w:sz w:val="28"/>
          <w:szCs w:val="28"/>
          <w:highlight w:val="none"/>
        </w:rPr>
        <w:t>组织机构代码</w:t>
      </w:r>
      <w:r>
        <w:rPr>
          <w:rFonts w:ascii="宋体" w:hAnsi="宋体"/>
          <w:color w:val="auto"/>
          <w:sz w:val="28"/>
          <w:szCs w:val="28"/>
          <w:highlight w:val="none"/>
        </w:rPr>
        <w:t>）：</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，法定代表人（企业负责人）：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w:t>
      </w:r>
    </w:p>
    <w:p>
      <w:pPr>
        <w:pStyle w:val="4"/>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562" w:firstLineChars="200"/>
        <w:jc w:val="both"/>
        <w:textAlignment w:val="auto"/>
        <w:outlineLvl w:val="9"/>
        <w:rPr>
          <w:rFonts w:ascii="宋体" w:hAnsi="宋体" w:eastAsia="宋体" w:cs="宋体"/>
          <w:color w:val="auto"/>
          <w:sz w:val="28"/>
          <w:szCs w:val="28"/>
          <w:highlight w:val="none"/>
        </w:rPr>
      </w:pPr>
      <w:bookmarkStart w:id="13" w:name="_Toc16379"/>
      <w:r>
        <w:rPr>
          <w:rFonts w:hint="eastAsia" w:ascii="宋体" w:hAnsi="宋体" w:eastAsia="宋体" w:cs="宋体"/>
          <w:color w:val="auto"/>
          <w:sz w:val="28"/>
          <w:szCs w:val="28"/>
          <w:highlight w:val="none"/>
        </w:rPr>
        <w:t>乙方联络通讯信息：</w:t>
      </w:r>
      <w:bookmarkEnd w:id="13"/>
    </w:p>
    <w:p>
      <w:pPr>
        <w:pStyle w:val="4"/>
        <w:keepNext w:val="0"/>
        <w:keepLines w:val="0"/>
        <w:pageBreakBefore w:val="0"/>
        <w:widowControl w:val="0"/>
        <w:tabs>
          <w:tab w:val="left" w:pos="1175"/>
          <w:tab w:val="left" w:pos="4684"/>
          <w:tab w:val="left" w:pos="9169"/>
        </w:tabs>
        <w:kinsoku/>
        <w:wordWrap/>
        <w:overflowPunct/>
        <w:topLinePunct w:val="0"/>
        <w:autoSpaceDE/>
        <w:autoSpaceDN/>
        <w:bidi w:val="0"/>
        <w:adjustRightInd/>
        <w:snapToGrid/>
        <w:spacing w:before="0" w:after="0" w:line="600" w:lineRule="exact"/>
        <w:ind w:left="3640" w:leftChars="0" w:hanging="3640" w:hangingChars="1300"/>
        <w:jc w:val="both"/>
        <w:textAlignment w:val="auto"/>
        <w:outlineLvl w:val="9"/>
        <w:rPr>
          <w:rFonts w:ascii="宋体" w:hAnsi="宋体" w:eastAsia="宋体" w:cs="宋体"/>
          <w:b w:val="0"/>
          <w:bCs w:val="0"/>
          <w:color w:val="auto"/>
          <w:sz w:val="28"/>
          <w:szCs w:val="28"/>
          <w:highlight w:val="none"/>
          <w:u w:val="single"/>
          <w:lang w:val="en-US"/>
        </w:rPr>
      </w:pPr>
      <w:bookmarkStart w:id="14" w:name="_Toc6087"/>
      <w:r>
        <w:rPr>
          <w:rFonts w:hint="eastAsia" w:ascii="宋体" w:hAnsi="宋体" w:eastAsia="宋体" w:cs="宋体"/>
          <w:b w:val="0"/>
          <w:bCs w:val="0"/>
          <w:color w:val="auto"/>
          <w:sz w:val="28"/>
          <w:szCs w:val="28"/>
          <w:highlight w:val="none"/>
        </w:rPr>
        <w:t>联系人：</w:t>
      </w:r>
      <w:r>
        <w:rPr>
          <w:rFonts w:hint="eastAsia" w:ascii="宋体" w:hAnsi="宋体" w:eastAsia="宋体" w:cs="宋体"/>
          <w:b w:val="0"/>
          <w:bCs w:val="0"/>
          <w:color w:val="auto"/>
          <w:sz w:val="28"/>
          <w:szCs w:val="28"/>
          <w:highlight w:val="none"/>
          <w:u w:val="single"/>
          <w:lang w:val="en-US"/>
        </w:rPr>
        <w:t xml:space="preserve">                   </w:t>
      </w:r>
      <w:r>
        <w:rPr>
          <w:rFonts w:hint="eastAsia" w:ascii="宋体" w:hAnsi="宋体" w:eastAsia="宋体" w:cs="宋体"/>
          <w:b w:val="0"/>
          <w:bCs w:val="0"/>
          <w:color w:val="auto"/>
          <w:sz w:val="28"/>
          <w:szCs w:val="28"/>
          <w:highlight w:val="none"/>
          <w:lang w:val="en-US"/>
        </w:rPr>
        <w:t>电子邮箱：</w:t>
      </w:r>
      <w:bookmarkEnd w:id="14"/>
      <w:r>
        <w:rPr>
          <w:rFonts w:hint="eastAsia" w:ascii="宋体" w:hAnsi="宋体" w:eastAsia="宋体" w:cs="宋体"/>
          <w:b w:val="0"/>
          <w:bCs w:val="0"/>
          <w:color w:val="auto"/>
          <w:sz w:val="28"/>
          <w:szCs w:val="28"/>
          <w:highlight w:val="none"/>
          <w:u w:val="single"/>
          <w:lang w:val="en-US"/>
        </w:rPr>
        <w:t xml:space="preserve">                   </w:t>
      </w:r>
    </w:p>
    <w:p>
      <w:pPr>
        <w:pStyle w:val="4"/>
        <w:keepNext w:val="0"/>
        <w:keepLines w:val="0"/>
        <w:pageBreakBefore w:val="0"/>
        <w:widowControl w:val="0"/>
        <w:tabs>
          <w:tab w:val="left" w:pos="1175"/>
          <w:tab w:val="left" w:pos="4684"/>
          <w:tab w:val="left" w:pos="9169"/>
        </w:tabs>
        <w:kinsoku/>
        <w:wordWrap/>
        <w:overflowPunct/>
        <w:topLinePunct w:val="0"/>
        <w:autoSpaceDE/>
        <w:autoSpaceDN/>
        <w:bidi w:val="0"/>
        <w:adjustRightInd/>
        <w:snapToGrid/>
        <w:spacing w:before="0" w:after="0" w:line="600" w:lineRule="exact"/>
        <w:ind w:left="0" w:leftChars="0" w:firstLine="560" w:firstLineChars="200"/>
        <w:jc w:val="both"/>
        <w:textAlignment w:val="auto"/>
        <w:outlineLvl w:val="9"/>
        <w:rPr>
          <w:rFonts w:ascii="宋体" w:hAnsi="宋体" w:eastAsia="宋体" w:cs="宋体"/>
          <w:b w:val="0"/>
          <w:bCs w:val="0"/>
          <w:color w:val="auto"/>
          <w:spacing w:val="15"/>
          <w:sz w:val="28"/>
          <w:szCs w:val="28"/>
          <w:highlight w:val="none"/>
          <w:u w:val="single"/>
          <w:lang w:val="en-US"/>
        </w:rPr>
      </w:pPr>
      <w:bookmarkStart w:id="15" w:name="_Toc15660"/>
      <w:r>
        <w:rPr>
          <w:rFonts w:hint="eastAsia" w:ascii="宋体" w:hAnsi="宋体" w:eastAsia="宋体" w:cs="宋体"/>
          <w:b w:val="0"/>
          <w:bCs w:val="0"/>
          <w:color w:val="auto"/>
          <w:sz w:val="28"/>
          <w:szCs w:val="28"/>
          <w:highlight w:val="none"/>
        </w:rPr>
        <w:t>电话：</w:t>
      </w:r>
      <w:r>
        <w:rPr>
          <w:rFonts w:hint="eastAsia" w:ascii="宋体" w:hAnsi="宋体" w:eastAsia="宋体" w:cs="宋体"/>
          <w:b w:val="0"/>
          <w:bCs w:val="0"/>
          <w:color w:val="auto"/>
          <w:sz w:val="28"/>
          <w:szCs w:val="28"/>
          <w:highlight w:val="none"/>
          <w:u w:val="single"/>
          <w:lang w:val="en-US"/>
        </w:rPr>
        <w:t xml:space="preserve">                  </w:t>
      </w:r>
      <w:r>
        <w:rPr>
          <w:rFonts w:hint="eastAsia" w:ascii="宋体" w:hAnsi="宋体" w:eastAsia="宋体" w:cs="宋体"/>
          <w:b w:val="0"/>
          <w:bCs w:val="0"/>
          <w:color w:val="auto"/>
          <w:sz w:val="28"/>
          <w:szCs w:val="28"/>
          <w:highlight w:val="none"/>
          <w:lang w:val="en-US"/>
        </w:rPr>
        <w:t xml:space="preserve">  </w:t>
      </w:r>
      <w:r>
        <w:rPr>
          <w:rFonts w:hint="eastAsia" w:ascii="宋体" w:hAnsi="宋体" w:eastAsia="宋体" w:cs="宋体"/>
          <w:b w:val="0"/>
          <w:bCs w:val="0"/>
          <w:color w:val="auto"/>
          <w:sz w:val="28"/>
          <w:szCs w:val="28"/>
          <w:highlight w:val="none"/>
        </w:rPr>
        <w:t>传真</w:t>
      </w:r>
      <w:r>
        <w:rPr>
          <w:rFonts w:hint="eastAsia" w:ascii="宋体" w:hAnsi="宋体" w:eastAsia="宋体" w:cs="宋体"/>
          <w:b w:val="0"/>
          <w:bCs w:val="0"/>
          <w:color w:val="auto"/>
          <w:spacing w:val="15"/>
          <w:sz w:val="28"/>
          <w:szCs w:val="28"/>
          <w:highlight w:val="none"/>
        </w:rPr>
        <w:t>：</w:t>
      </w:r>
      <w:bookmarkEnd w:id="15"/>
      <w:r>
        <w:rPr>
          <w:rFonts w:hint="eastAsia" w:ascii="宋体" w:hAnsi="宋体" w:eastAsia="宋体" w:cs="宋体"/>
          <w:b w:val="0"/>
          <w:bCs w:val="0"/>
          <w:color w:val="auto"/>
          <w:spacing w:val="15"/>
          <w:sz w:val="28"/>
          <w:szCs w:val="28"/>
          <w:highlight w:val="none"/>
          <w:u w:val="single"/>
          <w:lang w:val="en-US"/>
        </w:rPr>
        <w:t xml:space="preserve">                   </w:t>
      </w:r>
    </w:p>
    <w:p>
      <w:pPr>
        <w:pStyle w:val="4"/>
        <w:keepNext w:val="0"/>
        <w:keepLines w:val="0"/>
        <w:pageBreakBefore w:val="0"/>
        <w:widowControl w:val="0"/>
        <w:tabs>
          <w:tab w:val="left" w:pos="1175"/>
          <w:tab w:val="left" w:pos="4684"/>
          <w:tab w:val="left" w:pos="9169"/>
        </w:tabs>
        <w:kinsoku/>
        <w:wordWrap/>
        <w:overflowPunct/>
        <w:topLinePunct w:val="0"/>
        <w:autoSpaceDE/>
        <w:autoSpaceDN/>
        <w:bidi w:val="0"/>
        <w:adjustRightInd/>
        <w:snapToGrid/>
        <w:spacing w:before="0" w:after="0" w:line="600" w:lineRule="exact"/>
        <w:ind w:left="0" w:leftChars="0" w:firstLine="560" w:firstLineChars="200"/>
        <w:jc w:val="both"/>
        <w:textAlignment w:val="auto"/>
        <w:outlineLvl w:val="9"/>
        <w:rPr>
          <w:rFonts w:hint="eastAsia" w:ascii="宋体" w:hAnsi="宋体" w:eastAsia="宋体" w:cs="宋体"/>
          <w:b w:val="0"/>
          <w:bCs w:val="0"/>
          <w:color w:val="auto"/>
          <w:sz w:val="28"/>
          <w:szCs w:val="28"/>
          <w:highlight w:val="none"/>
          <w:u w:val="single"/>
        </w:rPr>
      </w:pPr>
      <w:bookmarkStart w:id="16" w:name="_Toc32335"/>
      <w:r>
        <w:rPr>
          <w:rFonts w:hint="eastAsia" w:ascii="宋体" w:hAnsi="宋体" w:eastAsia="宋体" w:cs="宋体"/>
          <w:b w:val="0"/>
          <w:bCs w:val="0"/>
          <w:color w:val="auto"/>
          <w:sz w:val="28"/>
          <w:szCs w:val="28"/>
          <w:highlight w:val="none"/>
        </w:rPr>
        <w:t>联</w:t>
      </w:r>
      <w:r>
        <w:rPr>
          <w:rFonts w:hint="eastAsia" w:ascii="宋体" w:hAnsi="宋体" w:eastAsia="宋体" w:cs="宋体"/>
          <w:b w:val="0"/>
          <w:bCs w:val="0"/>
          <w:color w:val="auto"/>
          <w:spacing w:val="15"/>
          <w:sz w:val="28"/>
          <w:szCs w:val="28"/>
          <w:highlight w:val="none"/>
        </w:rPr>
        <w:t>系</w:t>
      </w:r>
      <w:r>
        <w:rPr>
          <w:rFonts w:hint="eastAsia" w:ascii="宋体" w:hAnsi="宋体" w:eastAsia="宋体" w:cs="宋体"/>
          <w:b w:val="0"/>
          <w:bCs w:val="0"/>
          <w:color w:val="auto"/>
          <w:spacing w:val="-145"/>
          <w:sz w:val="28"/>
          <w:szCs w:val="28"/>
          <w:highlight w:val="none"/>
        </w:rPr>
        <w:t xml:space="preserve"> </w:t>
      </w:r>
      <w:r>
        <w:rPr>
          <w:rFonts w:hint="eastAsia" w:ascii="宋体" w:hAnsi="宋体" w:eastAsia="宋体" w:cs="宋体"/>
          <w:b w:val="0"/>
          <w:bCs w:val="0"/>
          <w:color w:val="auto"/>
          <w:sz w:val="28"/>
          <w:szCs w:val="28"/>
          <w:highlight w:val="none"/>
        </w:rPr>
        <w:t>地址</w:t>
      </w:r>
      <w:r>
        <w:rPr>
          <w:rFonts w:hint="eastAsia" w:ascii="宋体" w:hAnsi="宋体" w:eastAsia="宋体" w:cs="宋体"/>
          <w:b w:val="0"/>
          <w:bCs w:val="0"/>
          <w:color w:val="auto"/>
          <w:spacing w:val="15"/>
          <w:sz w:val="28"/>
          <w:szCs w:val="28"/>
          <w:highlight w:val="none"/>
        </w:rPr>
        <w:t>：</w:t>
      </w:r>
      <w:bookmarkEnd w:id="16"/>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rPr>
        <w:tab/>
      </w:r>
      <w:r>
        <w:rPr>
          <w:rFonts w:hint="eastAsia" w:ascii="宋体" w:hAnsi="宋体" w:eastAsia="宋体" w:cs="宋体"/>
          <w:b w:val="0"/>
          <w:bCs w:val="0"/>
          <w:color w:val="auto"/>
          <w:sz w:val="28"/>
          <w:szCs w:val="28"/>
          <w:highlight w:val="none"/>
          <w:u w:val="single"/>
        </w:rPr>
        <w:tab/>
      </w:r>
    </w:p>
    <w:p>
      <w:pPr>
        <w:pStyle w:val="4"/>
        <w:keepNext w:val="0"/>
        <w:keepLines w:val="0"/>
        <w:pageBreakBefore w:val="0"/>
        <w:tabs>
          <w:tab w:val="left" w:pos="1175"/>
          <w:tab w:val="left" w:pos="4684"/>
          <w:tab w:val="left" w:pos="9169"/>
        </w:tabs>
        <w:kinsoku/>
        <w:wordWrap/>
        <w:overflowPunct/>
        <w:topLinePunct w:val="0"/>
        <w:autoSpaceDE/>
        <w:autoSpaceDN/>
        <w:bidi w:val="0"/>
        <w:adjustRightInd/>
        <w:spacing w:before="0" w:after="0" w:line="600" w:lineRule="exact"/>
        <w:ind w:left="0" w:leftChars="0" w:firstLine="560" w:firstLineChars="200"/>
        <w:jc w:val="both"/>
        <w:textAlignment w:val="auto"/>
        <w:outlineLvl w:val="9"/>
        <w:rPr>
          <w:rFonts w:hint="eastAsia" w:ascii="宋体" w:hAnsi="宋体" w:eastAsia="宋体" w:cs="宋体"/>
          <w:b w:val="0"/>
          <w:bCs w:val="0"/>
          <w:color w:val="auto"/>
          <w:sz w:val="28"/>
          <w:szCs w:val="28"/>
          <w:highlight w:val="none"/>
          <w:u w:val="single"/>
        </w:rPr>
      </w:pPr>
    </w:p>
    <w:p>
      <w:pPr>
        <w:pStyle w:val="4"/>
        <w:keepNext w:val="0"/>
        <w:keepLines w:val="0"/>
        <w:pageBreakBefore w:val="0"/>
        <w:tabs>
          <w:tab w:val="left" w:pos="1175"/>
          <w:tab w:val="left" w:pos="4684"/>
          <w:tab w:val="left" w:pos="9169"/>
        </w:tabs>
        <w:kinsoku/>
        <w:wordWrap/>
        <w:overflowPunct/>
        <w:topLinePunct w:val="0"/>
        <w:autoSpaceDE/>
        <w:autoSpaceDN/>
        <w:bidi w:val="0"/>
        <w:adjustRightInd/>
        <w:spacing w:before="0" w:after="0" w:line="600" w:lineRule="exact"/>
        <w:ind w:left="0" w:leftChars="0" w:firstLine="560" w:firstLineChars="200"/>
        <w:jc w:val="both"/>
        <w:textAlignment w:val="auto"/>
        <w:outlineLvl w:val="9"/>
        <w:rPr>
          <w:rFonts w:hint="eastAsia" w:ascii="宋体" w:hAnsi="宋体" w:eastAsia="宋体" w:cs="宋体"/>
          <w:b w:val="0"/>
          <w:bCs w:val="0"/>
          <w:color w:val="auto"/>
          <w:sz w:val="28"/>
          <w:szCs w:val="28"/>
          <w:highlight w:val="none"/>
          <w:u w:val="single"/>
        </w:rPr>
      </w:pPr>
    </w:p>
    <w:p>
      <w:pPr>
        <w:pStyle w:val="4"/>
        <w:keepNext w:val="0"/>
        <w:keepLines w:val="0"/>
        <w:pageBreakBefore w:val="0"/>
        <w:tabs>
          <w:tab w:val="left" w:pos="1175"/>
          <w:tab w:val="left" w:pos="4684"/>
          <w:tab w:val="left" w:pos="9169"/>
        </w:tabs>
        <w:kinsoku/>
        <w:wordWrap/>
        <w:overflowPunct/>
        <w:topLinePunct w:val="0"/>
        <w:autoSpaceDE/>
        <w:autoSpaceDN/>
        <w:bidi w:val="0"/>
        <w:adjustRightInd/>
        <w:spacing w:before="0" w:after="0" w:line="600" w:lineRule="exact"/>
        <w:ind w:left="0" w:leftChars="0" w:firstLine="560" w:firstLineChars="200"/>
        <w:jc w:val="both"/>
        <w:textAlignment w:val="auto"/>
        <w:outlineLvl w:val="9"/>
        <w:rPr>
          <w:rFonts w:hint="eastAsia" w:ascii="宋体" w:hAnsi="宋体" w:eastAsia="宋体" w:cs="宋体"/>
          <w:b w:val="0"/>
          <w:bCs w:val="0"/>
          <w:color w:val="auto"/>
          <w:sz w:val="28"/>
          <w:szCs w:val="28"/>
          <w:highlight w:val="none"/>
          <w:u w:val="single"/>
        </w:rPr>
      </w:pPr>
    </w:p>
    <w:p>
      <w:pPr>
        <w:pStyle w:val="15"/>
        <w:keepNext w:val="0"/>
        <w:keepLines w:val="0"/>
        <w:pageBreakBefore w:val="0"/>
        <w:tabs>
          <w:tab w:val="right" w:leader="dot" w:pos="10530"/>
        </w:tabs>
        <w:kinsoku/>
        <w:wordWrap/>
        <w:overflowPunct/>
        <w:topLinePunct w:val="0"/>
        <w:autoSpaceDE/>
        <w:autoSpaceDN/>
        <w:bidi w:val="0"/>
        <w:adjustRightInd/>
        <w:spacing w:line="600" w:lineRule="exact"/>
        <w:ind w:left="0" w:leftChars="0" w:firstLine="560" w:firstLineChars="200"/>
        <w:jc w:val="both"/>
        <w:textAlignment w:val="auto"/>
        <w:rPr>
          <w:color w:val="auto"/>
          <w:highlight w:val="none"/>
        </w:rPr>
      </w:pPr>
      <w:r>
        <w:rPr>
          <w:rFonts w:hint="eastAsia" w:ascii="宋体" w:hAnsi="宋体" w:eastAsia="宋体" w:cs="宋体"/>
          <w:color w:val="auto"/>
          <w:sz w:val="28"/>
          <w:szCs w:val="28"/>
          <w:highlight w:val="none"/>
        </w:rPr>
        <w:t>甲乙</w:t>
      </w:r>
      <w:r>
        <w:rPr>
          <w:rFonts w:hint="eastAsia" w:ascii="宋体" w:hAnsi="宋体" w:eastAsia="宋体"/>
          <w:color w:val="auto"/>
          <w:sz w:val="28"/>
          <w:szCs w:val="28"/>
          <w:highlight w:val="none"/>
        </w:rPr>
        <w:t>双方根据国家有关法律、法规，按照电力交易规则、年度市场化交易实施方案以及交易公告等，本着平等、自愿</w:t>
      </w:r>
      <w:r>
        <w:rPr>
          <w:rFonts w:ascii="宋体" w:hAnsi="宋体" w:eastAsia="宋体"/>
          <w:color w:val="auto"/>
          <w:sz w:val="28"/>
          <w:szCs w:val="28"/>
          <w:highlight w:val="none"/>
        </w:rPr>
        <w:t>、公平和</w:t>
      </w:r>
      <w:r>
        <w:rPr>
          <w:rFonts w:hint="eastAsia" w:ascii="宋体" w:hAnsi="宋体" w:eastAsia="宋体"/>
          <w:color w:val="auto"/>
          <w:sz w:val="28"/>
          <w:szCs w:val="28"/>
          <w:highlight w:val="none"/>
        </w:rPr>
        <w:t>诚信的原则，经协商一致，签订</w:t>
      </w:r>
      <w:r>
        <w:rPr>
          <w:rFonts w:hint="eastAsia" w:ascii="宋体" w:hAnsi="宋体" w:eastAsia="宋体"/>
          <w:color w:val="auto"/>
          <w:sz w:val="28"/>
          <w:szCs w:val="28"/>
          <w:highlight w:val="none"/>
          <w:lang w:val="en-US" w:eastAsia="zh-CN"/>
        </w:rPr>
        <w:t>本合同</w:t>
      </w:r>
      <w:r>
        <w:rPr>
          <w:rFonts w:hint="eastAsia" w:ascii="宋体" w:hAnsi="宋体" w:eastAsia="宋体"/>
          <w:color w:val="auto"/>
          <w:sz w:val="28"/>
          <w:szCs w:val="28"/>
          <w:highlight w:val="none"/>
        </w:rPr>
        <w:t>。</w:t>
      </w:r>
    </w:p>
    <w:p>
      <w:pPr>
        <w:pStyle w:val="13"/>
        <w:keepNext w:val="0"/>
        <w:keepLines w:val="0"/>
        <w:pageBreakBefore w:val="0"/>
        <w:kinsoku/>
        <w:wordWrap/>
        <w:overflowPunct/>
        <w:topLinePunct w:val="0"/>
        <w:autoSpaceDE/>
        <w:autoSpaceDN/>
        <w:bidi w:val="0"/>
        <w:adjustRightInd/>
        <w:spacing w:before="0" w:beforeAutospacing="0" w:after="0" w:afterAutospacing="0" w:line="600" w:lineRule="exact"/>
        <w:ind w:left="0" w:leftChars="0"/>
        <w:jc w:val="center"/>
        <w:textAlignment w:val="auto"/>
        <w:outlineLvl w:val="0"/>
        <w:rPr>
          <w:rFonts w:hint="default" w:ascii="黑体" w:hAnsi="黑体" w:eastAsia="黑体" w:cs="黑体"/>
          <w:color w:val="auto"/>
          <w:sz w:val="30"/>
          <w:szCs w:val="30"/>
          <w:highlight w:val="none"/>
          <w:lang w:val="en-US" w:eastAsia="zh-CN"/>
        </w:rPr>
      </w:pPr>
      <w:bookmarkStart w:id="17" w:name="_Toc20117_WPSOffice_Level1"/>
      <w:bookmarkStart w:id="18" w:name="_Toc13336_WPSOffice_Level1"/>
      <w:bookmarkStart w:id="19" w:name="_Toc16353"/>
      <w:r>
        <w:rPr>
          <w:rFonts w:hint="eastAsia" w:ascii="黑体" w:hAnsi="黑体" w:eastAsia="黑体" w:cs="黑体"/>
          <w:color w:val="auto"/>
          <w:sz w:val="30"/>
          <w:szCs w:val="30"/>
          <w:highlight w:val="none"/>
        </w:rPr>
        <w:t>第1章　</w:t>
      </w:r>
      <w:bookmarkEnd w:id="0"/>
      <w:r>
        <w:rPr>
          <w:rFonts w:hint="eastAsia" w:ascii="黑体" w:hAnsi="黑体" w:eastAsia="黑体" w:cs="黑体"/>
          <w:color w:val="auto"/>
          <w:sz w:val="30"/>
          <w:szCs w:val="30"/>
          <w:highlight w:val="none"/>
        </w:rPr>
        <w:t>定义</w:t>
      </w:r>
      <w:r>
        <w:rPr>
          <w:rFonts w:hint="eastAsia" w:ascii="黑体" w:hAnsi="黑体" w:eastAsia="黑体" w:cs="黑体"/>
          <w:color w:val="auto"/>
          <w:sz w:val="30"/>
          <w:szCs w:val="30"/>
          <w:highlight w:val="none"/>
          <w:lang w:eastAsia="zh-CN"/>
        </w:rPr>
        <w:t>、</w:t>
      </w:r>
      <w:r>
        <w:rPr>
          <w:rFonts w:hint="eastAsia" w:ascii="黑体" w:hAnsi="黑体" w:eastAsia="黑体" w:cs="黑体"/>
          <w:color w:val="auto"/>
          <w:sz w:val="30"/>
          <w:szCs w:val="30"/>
          <w:highlight w:val="none"/>
        </w:rPr>
        <w:t>说明</w:t>
      </w:r>
      <w:bookmarkEnd w:id="1"/>
      <w:bookmarkEnd w:id="2"/>
      <w:bookmarkEnd w:id="17"/>
      <w:bookmarkEnd w:id="18"/>
      <w:r>
        <w:rPr>
          <w:rFonts w:hint="eastAsia" w:ascii="黑体" w:hAnsi="黑体" w:eastAsia="黑体" w:cs="黑体"/>
          <w:color w:val="auto"/>
          <w:sz w:val="30"/>
          <w:szCs w:val="30"/>
          <w:highlight w:val="none"/>
          <w:lang w:val="en-US" w:eastAsia="zh-CN"/>
        </w:rPr>
        <w:t>和风险提示</w:t>
      </w:r>
      <w:bookmarkEnd w:id="19"/>
    </w:p>
    <w:p>
      <w:pPr>
        <w:keepNext w:val="0"/>
        <w:keepLines w:val="0"/>
        <w:pageBreakBefore w:val="0"/>
        <w:kinsoku/>
        <w:wordWrap/>
        <w:overflowPunct/>
        <w:topLinePunct w:val="0"/>
        <w:autoSpaceDE/>
        <w:autoSpaceDN/>
        <w:bidi w:val="0"/>
        <w:adjustRightInd/>
        <w:spacing w:line="600" w:lineRule="exact"/>
        <w:ind w:left="0" w:leftChars="0"/>
        <w:textAlignment w:val="auto"/>
        <w:rPr>
          <w:rFonts w:ascii="宋体" w:hAnsi="宋体"/>
          <w:color w:val="auto"/>
          <w:sz w:val="28"/>
          <w:szCs w:val="28"/>
          <w:highlight w:val="none"/>
        </w:rPr>
      </w:pPr>
      <w:r>
        <w:rPr>
          <w:rFonts w:ascii="宋体" w:hAnsi="宋体"/>
          <w:color w:val="auto"/>
          <w:sz w:val="28"/>
          <w:szCs w:val="28"/>
          <w:highlight w:val="none"/>
        </w:rPr>
        <w:t>　　1.1定义</w:t>
      </w:r>
    </w:p>
    <w:p>
      <w:pPr>
        <w:keepNext w:val="0"/>
        <w:keepLines w:val="0"/>
        <w:pageBreakBefore w:val="0"/>
        <w:kinsoku/>
        <w:wordWrap/>
        <w:overflowPunct/>
        <w:topLinePunct w:val="0"/>
        <w:autoSpaceDE/>
        <w:autoSpaceDN/>
        <w:bidi w:val="0"/>
        <w:adjustRightInd/>
        <w:spacing w:line="600" w:lineRule="exact"/>
        <w:ind w:left="0" w:leftChars="0" w:firstLine="560"/>
        <w:textAlignment w:val="auto"/>
        <w:rPr>
          <w:rFonts w:ascii="宋体" w:hAnsi="宋体"/>
          <w:color w:val="auto"/>
          <w:sz w:val="28"/>
          <w:szCs w:val="28"/>
          <w:highlight w:val="none"/>
        </w:rPr>
      </w:pPr>
      <w:r>
        <w:rPr>
          <w:rFonts w:ascii="宋体" w:hAnsi="宋体"/>
          <w:color w:val="auto"/>
          <w:sz w:val="28"/>
          <w:szCs w:val="28"/>
          <w:highlight w:val="none"/>
        </w:rPr>
        <w:t>1.1.1</w:t>
      </w:r>
      <w:r>
        <w:rPr>
          <w:rFonts w:hint="eastAsia" w:ascii="宋体" w:hAnsi="宋体"/>
          <w:color w:val="auto"/>
          <w:sz w:val="28"/>
          <w:szCs w:val="28"/>
          <w:highlight w:val="none"/>
        </w:rPr>
        <w:t>电力零售交易：是指售电公司与电力用户之间进行的购售电交易活动。</w:t>
      </w:r>
    </w:p>
    <w:p>
      <w:pPr>
        <w:keepNext w:val="0"/>
        <w:keepLines w:val="0"/>
        <w:pageBreakBefore w:val="0"/>
        <w:kinsoku/>
        <w:wordWrap/>
        <w:overflowPunct/>
        <w:topLinePunct w:val="0"/>
        <w:autoSpaceDE/>
        <w:autoSpaceDN/>
        <w:bidi w:val="0"/>
        <w:adjustRightInd/>
        <w:spacing w:line="600" w:lineRule="exact"/>
        <w:ind w:left="0" w:leftChars="0" w:firstLine="560"/>
        <w:textAlignment w:val="auto"/>
        <w:rPr>
          <w:rFonts w:ascii="宋体" w:hAnsi="宋体"/>
          <w:color w:val="auto"/>
          <w:sz w:val="28"/>
          <w:szCs w:val="28"/>
          <w:highlight w:val="none"/>
        </w:rPr>
      </w:pPr>
      <w:r>
        <w:rPr>
          <w:rFonts w:hint="eastAsia" w:ascii="宋体" w:hAnsi="宋体"/>
          <w:color w:val="auto"/>
          <w:sz w:val="28"/>
          <w:szCs w:val="28"/>
          <w:highlight w:val="none"/>
        </w:rPr>
        <w:t>1.1.2</w:t>
      </w:r>
      <w:r>
        <w:rPr>
          <w:rFonts w:ascii="宋体" w:hAnsi="宋体"/>
          <w:color w:val="auto"/>
          <w:sz w:val="28"/>
          <w:szCs w:val="28"/>
          <w:highlight w:val="none"/>
        </w:rPr>
        <w:t>计量点：指</w:t>
      </w:r>
      <w:r>
        <w:rPr>
          <w:rFonts w:hint="eastAsia" w:ascii="宋体" w:hAnsi="宋体"/>
          <w:color w:val="auto"/>
          <w:sz w:val="28"/>
          <w:szCs w:val="28"/>
          <w:highlight w:val="none"/>
        </w:rPr>
        <w:t>本合同涉及的用户侧计量点，以电力用户与电网企业在《供用电合同》中约定</w:t>
      </w:r>
      <w:r>
        <w:rPr>
          <w:rFonts w:ascii="宋体" w:hAnsi="宋体"/>
          <w:color w:val="auto"/>
          <w:sz w:val="28"/>
          <w:szCs w:val="28"/>
          <w:highlight w:val="none"/>
        </w:rPr>
        <w:t>的电能计量装置关口表安装位置</w:t>
      </w:r>
      <w:r>
        <w:rPr>
          <w:rFonts w:hint="eastAsia" w:ascii="宋体" w:hAnsi="宋体"/>
          <w:color w:val="auto"/>
          <w:sz w:val="28"/>
          <w:szCs w:val="28"/>
          <w:highlight w:val="none"/>
        </w:rPr>
        <w:t>为准</w:t>
      </w:r>
      <w:r>
        <w:rPr>
          <w:rFonts w:ascii="宋体" w:hAnsi="宋体"/>
          <w:color w:val="auto"/>
          <w:sz w:val="28"/>
          <w:szCs w:val="28"/>
          <w:highlight w:val="none"/>
        </w:rPr>
        <w:t>。</w:t>
      </w:r>
    </w:p>
    <w:p>
      <w:pPr>
        <w:keepNext w:val="0"/>
        <w:keepLines w:val="0"/>
        <w:pageBreakBefore w:val="0"/>
        <w:kinsoku/>
        <w:wordWrap/>
        <w:overflowPunct/>
        <w:topLinePunct w:val="0"/>
        <w:autoSpaceDE/>
        <w:autoSpaceDN/>
        <w:bidi w:val="0"/>
        <w:adjustRightInd/>
        <w:spacing w:line="600" w:lineRule="exact"/>
        <w:ind w:left="0" w:leftChars="0"/>
        <w:textAlignment w:val="auto"/>
        <w:rPr>
          <w:rFonts w:ascii="宋体" w:hAnsi="宋体"/>
          <w:color w:val="auto"/>
          <w:sz w:val="28"/>
          <w:szCs w:val="28"/>
          <w:highlight w:val="none"/>
        </w:rPr>
      </w:pPr>
      <w:r>
        <w:rPr>
          <w:rFonts w:ascii="宋体" w:hAnsi="宋体"/>
          <w:color w:val="auto"/>
          <w:sz w:val="28"/>
          <w:szCs w:val="28"/>
          <w:highlight w:val="none"/>
        </w:rPr>
        <w:t>　　1.1.</w:t>
      </w:r>
      <w:r>
        <w:rPr>
          <w:rFonts w:hint="eastAsia" w:ascii="宋体" w:hAnsi="宋体"/>
          <w:color w:val="auto"/>
          <w:sz w:val="28"/>
          <w:szCs w:val="28"/>
          <w:highlight w:val="none"/>
        </w:rPr>
        <w:t>3</w:t>
      </w:r>
      <w:r>
        <w:rPr>
          <w:rFonts w:ascii="宋体" w:hAnsi="宋体"/>
          <w:color w:val="auto"/>
          <w:sz w:val="28"/>
          <w:szCs w:val="28"/>
          <w:highlight w:val="none"/>
        </w:rPr>
        <w:t>紧急情况：指电力系统发生事故或发电、输配电、用电设备发生重大事故，电网频率或者电压超出规定范围，输变电设备负载超过规定值，主干线路功率超出规定的稳定限额以及其他威胁电网安全运行，有可能破坏电网稳定，导致电网瓦解以至大面积停电等运行情况，并且该情况在结束后得到电力监管机构确认。</w:t>
      </w:r>
    </w:p>
    <w:p>
      <w:pPr>
        <w:keepNext w:val="0"/>
        <w:keepLines w:val="0"/>
        <w:pageBreakBefore w:val="0"/>
        <w:kinsoku/>
        <w:wordWrap/>
        <w:overflowPunct/>
        <w:topLinePunct w:val="0"/>
        <w:autoSpaceDE/>
        <w:autoSpaceDN/>
        <w:bidi w:val="0"/>
        <w:adjustRightInd/>
        <w:spacing w:line="600" w:lineRule="exact"/>
        <w:ind w:left="0" w:leftChars="0" w:firstLine="560"/>
        <w:textAlignment w:val="auto"/>
        <w:rPr>
          <w:rFonts w:ascii="宋体" w:hAnsi="宋体"/>
          <w:color w:val="auto"/>
          <w:sz w:val="28"/>
          <w:szCs w:val="28"/>
          <w:highlight w:val="none"/>
        </w:rPr>
      </w:pPr>
      <w:r>
        <w:rPr>
          <w:rFonts w:ascii="宋体" w:hAnsi="宋体"/>
          <w:color w:val="auto"/>
          <w:sz w:val="28"/>
          <w:szCs w:val="28"/>
          <w:highlight w:val="none"/>
        </w:rPr>
        <w:t>1.1.</w:t>
      </w:r>
      <w:r>
        <w:rPr>
          <w:rFonts w:hint="eastAsia" w:ascii="宋体" w:hAnsi="宋体"/>
          <w:color w:val="auto"/>
          <w:sz w:val="28"/>
          <w:szCs w:val="28"/>
          <w:highlight w:val="none"/>
        </w:rPr>
        <w:t>4工作日：指除星期六、星期日及法定节假日以外的公历日。</w:t>
      </w:r>
    </w:p>
    <w:p>
      <w:pPr>
        <w:keepNext w:val="0"/>
        <w:keepLines w:val="0"/>
        <w:pageBreakBefore w:val="0"/>
        <w:kinsoku/>
        <w:wordWrap/>
        <w:overflowPunct/>
        <w:topLinePunct w:val="0"/>
        <w:autoSpaceDE/>
        <w:autoSpaceDN/>
        <w:bidi w:val="0"/>
        <w:adjustRightInd/>
        <w:spacing w:line="600" w:lineRule="exact"/>
        <w:ind w:left="0" w:leftChars="0" w:firstLine="560"/>
        <w:textAlignment w:val="auto"/>
        <w:rPr>
          <w:rFonts w:ascii="宋体" w:hAnsi="宋体"/>
          <w:color w:val="auto"/>
          <w:sz w:val="28"/>
          <w:szCs w:val="28"/>
          <w:highlight w:val="none"/>
        </w:rPr>
      </w:pPr>
      <w:r>
        <w:rPr>
          <w:rFonts w:hint="eastAsia" w:ascii="宋体" w:hAnsi="宋体"/>
          <w:color w:val="auto"/>
          <w:sz w:val="28"/>
          <w:szCs w:val="28"/>
          <w:highlight w:val="none"/>
        </w:rPr>
        <w:t>1.1.5</w:t>
      </w:r>
      <w:r>
        <w:rPr>
          <w:rFonts w:ascii="宋体" w:hAnsi="宋体"/>
          <w:color w:val="auto"/>
          <w:sz w:val="28"/>
          <w:szCs w:val="28"/>
          <w:highlight w:val="none"/>
        </w:rPr>
        <w:t>不可抗力：指不能预见、不能避免并不能克服的客观情况。包括：火山爆发、龙卷风、海啸、暴风雨、泥石流、山体滑坡、水灾、火灾、超设计标准的地震、台风、雷电、雾闪</w:t>
      </w:r>
      <w:r>
        <w:rPr>
          <w:rFonts w:hint="eastAsia" w:ascii="宋体" w:hAnsi="宋体"/>
          <w:color w:val="auto"/>
          <w:sz w:val="28"/>
          <w:szCs w:val="28"/>
          <w:highlight w:val="none"/>
        </w:rPr>
        <w:t>等，电力市场技术支持相关系统发生重大故障、政府行为</w:t>
      </w:r>
      <w:r>
        <w:rPr>
          <w:rFonts w:ascii="宋体" w:hAnsi="宋体"/>
          <w:color w:val="auto"/>
          <w:sz w:val="28"/>
          <w:szCs w:val="28"/>
          <w:highlight w:val="none"/>
        </w:rPr>
        <w:t>以及核辐射、战争、瘟疫、骚乱等。</w:t>
      </w:r>
    </w:p>
    <w:p>
      <w:pPr>
        <w:keepNext w:val="0"/>
        <w:keepLines w:val="0"/>
        <w:pageBreakBefore w:val="0"/>
        <w:kinsoku/>
        <w:wordWrap/>
        <w:overflowPunct/>
        <w:topLinePunct w:val="0"/>
        <w:autoSpaceDE/>
        <w:autoSpaceDN/>
        <w:bidi w:val="0"/>
        <w:adjustRightInd/>
        <w:spacing w:line="600" w:lineRule="exact"/>
        <w:ind w:left="0" w:leftChars="0" w:firstLine="560"/>
        <w:textAlignment w:val="auto"/>
        <w:rPr>
          <w:rFonts w:hint="default" w:ascii="宋体" w:hAnsi="宋体"/>
          <w:color w:val="auto"/>
          <w:sz w:val="28"/>
          <w:szCs w:val="28"/>
          <w:highlight w:val="none"/>
          <w:lang w:val="en-US" w:eastAsia="zh-CN"/>
        </w:rPr>
      </w:pPr>
      <w:r>
        <w:rPr>
          <w:rFonts w:hint="eastAsia" w:ascii="宋体" w:hAnsi="宋体"/>
          <w:color w:val="auto"/>
          <w:sz w:val="28"/>
          <w:szCs w:val="28"/>
          <w:highlight w:val="none"/>
          <w:lang w:val="en-US" w:eastAsia="zh-CN"/>
        </w:rPr>
        <w:t>1.1.6实时</w:t>
      </w:r>
      <w:r>
        <w:rPr>
          <w:rFonts w:ascii="宋体" w:hAnsi="宋体"/>
          <w:color w:val="auto"/>
          <w:sz w:val="28"/>
          <w:szCs w:val="28"/>
          <w:highlight w:val="none"/>
        </w:rPr>
        <w:t>市场月度加权平均综合价：指当月</w:t>
      </w:r>
      <w:r>
        <w:rPr>
          <w:rFonts w:hint="eastAsia" w:ascii="宋体" w:hAnsi="宋体"/>
          <w:color w:val="auto"/>
          <w:sz w:val="28"/>
          <w:szCs w:val="28"/>
          <w:highlight w:val="none"/>
          <w:lang w:val="en-US" w:eastAsia="zh-CN"/>
        </w:rPr>
        <w:t>实时</w:t>
      </w:r>
      <w:r>
        <w:rPr>
          <w:rFonts w:ascii="宋体" w:hAnsi="宋体"/>
          <w:color w:val="auto"/>
          <w:sz w:val="28"/>
          <w:szCs w:val="28"/>
          <w:highlight w:val="none"/>
        </w:rPr>
        <w:t>市场各时段统一结算点电价和对应时段市场</w:t>
      </w:r>
      <w:r>
        <w:rPr>
          <w:rFonts w:hint="eastAsia" w:ascii="宋体" w:hAnsi="宋体"/>
          <w:color w:val="auto"/>
          <w:sz w:val="28"/>
          <w:szCs w:val="28"/>
          <w:highlight w:val="none"/>
          <w:lang w:val="en-US" w:eastAsia="zh-CN"/>
        </w:rPr>
        <w:t>出清</w:t>
      </w:r>
      <w:r>
        <w:rPr>
          <w:rFonts w:ascii="宋体" w:hAnsi="宋体"/>
          <w:color w:val="auto"/>
          <w:sz w:val="28"/>
          <w:szCs w:val="28"/>
          <w:highlight w:val="none"/>
        </w:rPr>
        <w:t>总电量的加权平均价格。</w:t>
      </w:r>
    </w:p>
    <w:p>
      <w:pPr>
        <w:keepNext w:val="0"/>
        <w:keepLines w:val="0"/>
        <w:pageBreakBefore w:val="0"/>
        <w:kinsoku/>
        <w:wordWrap/>
        <w:overflowPunct/>
        <w:topLinePunct w:val="0"/>
        <w:autoSpaceDE/>
        <w:autoSpaceDN/>
        <w:bidi w:val="0"/>
        <w:adjustRightInd/>
        <w:spacing w:line="600" w:lineRule="exact"/>
        <w:ind w:left="0" w:leftChars="0" w:firstLine="560"/>
        <w:textAlignment w:val="auto"/>
        <w:rPr>
          <w:rFonts w:hint="eastAsia" w:ascii="宋体" w:hAnsi="宋体"/>
          <w:color w:val="auto"/>
          <w:sz w:val="28"/>
          <w:szCs w:val="28"/>
          <w:highlight w:val="none"/>
          <w:lang w:eastAsia="zh-CN"/>
        </w:rPr>
      </w:pPr>
      <w:r>
        <w:rPr>
          <w:rFonts w:hint="eastAsia" w:ascii="宋体" w:hAnsi="宋体"/>
          <w:color w:val="auto"/>
          <w:sz w:val="28"/>
          <w:szCs w:val="28"/>
          <w:highlight w:val="none"/>
          <w:lang w:val="en-US" w:eastAsia="zh-CN"/>
        </w:rPr>
        <w:t>1.1.7</w:t>
      </w:r>
      <w:r>
        <w:rPr>
          <w:rFonts w:hint="eastAsia" w:ascii="宋体" w:hAnsi="宋体" w:eastAsia="宋体" w:cs="宋体"/>
          <w:color w:val="auto"/>
          <w:sz w:val="28"/>
          <w:szCs w:val="28"/>
          <w:highlight w:val="none"/>
          <w:shd w:val="clear" w:color="auto" w:fill="FFFFFF"/>
          <w:lang w:val="en-US" w:eastAsia="zh-CN"/>
        </w:rPr>
        <w:t>直接交易</w:t>
      </w:r>
      <w:r>
        <w:rPr>
          <w:rFonts w:hint="default" w:ascii="宋体" w:hAnsi="宋体" w:eastAsia="宋体" w:cs="宋体"/>
          <w:color w:val="auto"/>
          <w:sz w:val="28"/>
          <w:szCs w:val="28"/>
          <w:highlight w:val="none"/>
          <w:shd w:val="clear" w:color="auto" w:fill="FFFFFF"/>
          <w:lang w:val="en-US" w:eastAsia="zh-CN"/>
        </w:rPr>
        <w:t>月度集中交易加权平均价</w:t>
      </w:r>
      <w:r>
        <w:rPr>
          <w:rFonts w:hint="eastAsia" w:ascii="宋体" w:hAnsi="宋体"/>
          <w:color w:val="auto"/>
          <w:sz w:val="28"/>
          <w:szCs w:val="28"/>
          <w:highlight w:val="none"/>
          <w:lang w:eastAsia="zh-CN"/>
        </w:rPr>
        <w:t>：指交易中心发布的</w:t>
      </w:r>
      <w:r>
        <w:rPr>
          <w:rFonts w:hint="eastAsia" w:ascii="宋体" w:hAnsi="宋体"/>
          <w:color w:val="auto"/>
          <w:sz w:val="28"/>
          <w:szCs w:val="28"/>
          <w:highlight w:val="none"/>
          <w:lang w:val="en-US" w:eastAsia="zh-CN"/>
        </w:rPr>
        <w:t>直接交易</w:t>
      </w:r>
      <w:r>
        <w:rPr>
          <w:rFonts w:hint="eastAsia" w:ascii="宋体" w:hAnsi="宋体"/>
          <w:color w:val="auto"/>
          <w:sz w:val="28"/>
          <w:szCs w:val="28"/>
          <w:highlight w:val="none"/>
          <w:lang w:eastAsia="zh-CN"/>
        </w:rPr>
        <w:t>当月月度集中</w:t>
      </w:r>
      <w:r>
        <w:rPr>
          <w:rFonts w:hint="eastAsia" w:ascii="宋体" w:hAnsi="宋体"/>
          <w:color w:val="auto"/>
          <w:sz w:val="28"/>
          <w:szCs w:val="28"/>
          <w:highlight w:val="none"/>
          <w:lang w:val="en-US" w:eastAsia="zh-CN"/>
        </w:rPr>
        <w:t>交易加权平均</w:t>
      </w:r>
      <w:r>
        <w:rPr>
          <w:rFonts w:hint="eastAsia" w:ascii="宋体" w:hAnsi="宋体"/>
          <w:color w:val="auto"/>
          <w:sz w:val="28"/>
          <w:szCs w:val="28"/>
          <w:highlight w:val="none"/>
          <w:lang w:eastAsia="zh-CN"/>
        </w:rPr>
        <w:t>价。</w:t>
      </w:r>
    </w:p>
    <w:p>
      <w:pPr>
        <w:keepNext w:val="0"/>
        <w:keepLines w:val="0"/>
        <w:pageBreakBefore w:val="0"/>
        <w:kinsoku/>
        <w:wordWrap/>
        <w:overflowPunct/>
        <w:topLinePunct w:val="0"/>
        <w:autoSpaceDE/>
        <w:autoSpaceDN/>
        <w:bidi w:val="0"/>
        <w:adjustRightInd/>
        <w:spacing w:line="600" w:lineRule="exact"/>
        <w:ind w:left="0" w:leftChars="0" w:firstLine="560"/>
        <w:textAlignment w:val="auto"/>
        <w:rPr>
          <w:rFonts w:hint="eastAsia" w:ascii="宋体" w:hAnsi="宋体"/>
          <w:color w:val="auto"/>
          <w:sz w:val="28"/>
          <w:szCs w:val="28"/>
          <w:highlight w:val="none"/>
        </w:rPr>
      </w:pPr>
      <w:r>
        <w:rPr>
          <w:rFonts w:hint="eastAsia" w:ascii="宋体" w:hAnsi="宋体"/>
          <w:color w:val="auto"/>
          <w:sz w:val="28"/>
          <w:szCs w:val="28"/>
          <w:highlight w:val="none"/>
          <w:lang w:val="en-US" w:eastAsia="zh-CN"/>
        </w:rPr>
        <w:t>1.1.8</w:t>
      </w:r>
      <w:r>
        <w:rPr>
          <w:rFonts w:hint="default" w:ascii="宋体" w:hAnsi="宋体" w:eastAsia="宋体" w:cs="宋体"/>
          <w:color w:val="auto"/>
          <w:sz w:val="28"/>
          <w:szCs w:val="28"/>
          <w:highlight w:val="none"/>
          <w:shd w:val="clear" w:color="auto" w:fill="FFFFFF"/>
          <w:lang w:val="en-US" w:eastAsia="zh-CN"/>
        </w:rPr>
        <w:t>直接交易月度加权平均价</w:t>
      </w:r>
      <w:r>
        <w:rPr>
          <w:rFonts w:hint="eastAsia" w:ascii="宋体" w:hAnsi="宋体"/>
          <w:color w:val="auto"/>
          <w:sz w:val="28"/>
          <w:szCs w:val="28"/>
          <w:highlight w:val="none"/>
          <w:lang w:eastAsia="zh-CN"/>
        </w:rPr>
        <w:t>：指交易中心</w:t>
      </w:r>
      <w:r>
        <w:rPr>
          <w:rFonts w:hint="eastAsia" w:ascii="宋体" w:hAnsi="宋体"/>
          <w:color w:val="auto"/>
          <w:sz w:val="28"/>
          <w:szCs w:val="28"/>
          <w:highlight w:val="none"/>
          <w:lang w:val="en-US" w:eastAsia="zh-CN"/>
        </w:rPr>
        <w:t>发布的直接交易当月月度</w:t>
      </w:r>
      <w:r>
        <w:rPr>
          <w:rFonts w:hint="eastAsia" w:ascii="宋体" w:hAnsi="宋体"/>
          <w:color w:val="auto"/>
          <w:sz w:val="28"/>
          <w:szCs w:val="28"/>
          <w:highlight w:val="none"/>
        </w:rPr>
        <w:t>加权</w:t>
      </w:r>
      <w:r>
        <w:rPr>
          <w:rFonts w:hint="eastAsia" w:ascii="宋体" w:hAnsi="宋体"/>
          <w:color w:val="auto"/>
          <w:sz w:val="28"/>
          <w:szCs w:val="28"/>
          <w:highlight w:val="none"/>
          <w:lang w:val="en-US" w:eastAsia="zh-CN"/>
        </w:rPr>
        <w:t>平均价</w:t>
      </w:r>
      <w:r>
        <w:rPr>
          <w:rFonts w:hint="eastAsia" w:ascii="宋体" w:hAnsi="宋体"/>
          <w:color w:val="auto"/>
          <w:sz w:val="28"/>
          <w:szCs w:val="28"/>
          <w:highlight w:val="none"/>
        </w:rPr>
        <w:t>。</w:t>
      </w:r>
    </w:p>
    <w:p>
      <w:pPr>
        <w:keepNext w:val="0"/>
        <w:keepLines w:val="0"/>
        <w:pageBreakBefore w:val="0"/>
        <w:kinsoku/>
        <w:wordWrap/>
        <w:overflowPunct/>
        <w:topLinePunct w:val="0"/>
        <w:autoSpaceDE/>
        <w:autoSpaceDN/>
        <w:bidi w:val="0"/>
        <w:adjustRightInd/>
        <w:spacing w:line="600" w:lineRule="exact"/>
        <w:ind w:left="0" w:leftChars="0"/>
        <w:textAlignment w:val="auto"/>
        <w:rPr>
          <w:rFonts w:ascii="宋体" w:hAnsi="宋体"/>
          <w:color w:val="auto"/>
          <w:sz w:val="28"/>
          <w:szCs w:val="28"/>
          <w:highlight w:val="none"/>
        </w:rPr>
      </w:pPr>
      <w:r>
        <w:rPr>
          <w:rFonts w:ascii="宋体" w:hAnsi="宋体"/>
          <w:color w:val="auto"/>
          <w:sz w:val="28"/>
          <w:szCs w:val="28"/>
          <w:highlight w:val="none"/>
        </w:rPr>
        <w:t>　　1.2</w:t>
      </w:r>
      <w:r>
        <w:rPr>
          <w:rFonts w:hint="eastAsia" w:ascii="宋体" w:hAnsi="宋体"/>
          <w:color w:val="auto"/>
          <w:sz w:val="28"/>
          <w:szCs w:val="28"/>
          <w:highlight w:val="none"/>
        </w:rPr>
        <w:t>说明</w:t>
      </w:r>
    </w:p>
    <w:p>
      <w:pPr>
        <w:keepNext w:val="0"/>
        <w:keepLines w:val="0"/>
        <w:pageBreakBefore w:val="0"/>
        <w:kinsoku/>
        <w:wordWrap/>
        <w:overflowPunct/>
        <w:topLinePunct w:val="0"/>
        <w:autoSpaceDE/>
        <w:autoSpaceDN/>
        <w:bidi w:val="0"/>
        <w:adjustRightInd/>
        <w:spacing w:line="600" w:lineRule="exact"/>
        <w:ind w:left="0" w:leftChars="0"/>
        <w:textAlignment w:val="auto"/>
        <w:rPr>
          <w:rFonts w:ascii="宋体" w:hAnsi="宋体"/>
          <w:color w:val="auto"/>
          <w:sz w:val="28"/>
          <w:szCs w:val="28"/>
          <w:highlight w:val="none"/>
        </w:rPr>
      </w:pPr>
      <w:r>
        <w:rPr>
          <w:rFonts w:ascii="宋体" w:hAnsi="宋体"/>
          <w:color w:val="auto"/>
          <w:sz w:val="28"/>
          <w:szCs w:val="28"/>
          <w:highlight w:val="none"/>
        </w:rPr>
        <w:t>　　1.2.1本合同中的标题仅为阅读方便，不应被视为本合同的组成部分，亦不应以任何方式影响对本合同的解释。</w:t>
      </w:r>
    </w:p>
    <w:p>
      <w:pPr>
        <w:keepNext w:val="0"/>
        <w:keepLines w:val="0"/>
        <w:pageBreakBefore w:val="0"/>
        <w:kinsoku/>
        <w:wordWrap/>
        <w:overflowPunct/>
        <w:topLinePunct w:val="0"/>
        <w:autoSpaceDE/>
        <w:autoSpaceDN/>
        <w:bidi w:val="0"/>
        <w:adjustRightInd/>
        <w:spacing w:line="600" w:lineRule="exact"/>
        <w:ind w:left="0" w:leftChars="0" w:firstLine="560"/>
        <w:textAlignment w:val="auto"/>
        <w:rPr>
          <w:rFonts w:ascii="宋体" w:hAnsi="宋体"/>
          <w:color w:val="auto"/>
          <w:sz w:val="28"/>
          <w:szCs w:val="28"/>
          <w:highlight w:val="none"/>
        </w:rPr>
      </w:pPr>
      <w:r>
        <w:rPr>
          <w:rFonts w:hint="eastAsia" w:ascii="宋体" w:hAnsi="宋体"/>
          <w:color w:val="auto"/>
          <w:sz w:val="28"/>
          <w:szCs w:val="28"/>
          <w:highlight w:val="none"/>
        </w:rPr>
        <w:t>1.2.2</w:t>
      </w:r>
      <w:r>
        <w:rPr>
          <w:rFonts w:ascii="宋体" w:hAnsi="宋体"/>
          <w:color w:val="auto"/>
          <w:sz w:val="28"/>
          <w:szCs w:val="28"/>
          <w:highlight w:val="none"/>
        </w:rPr>
        <w:t>本合同附件与正文具有同等的法律效力。</w:t>
      </w:r>
    </w:p>
    <w:p>
      <w:pPr>
        <w:keepNext w:val="0"/>
        <w:keepLines w:val="0"/>
        <w:pageBreakBefore w:val="0"/>
        <w:kinsoku/>
        <w:wordWrap/>
        <w:overflowPunct/>
        <w:topLinePunct w:val="0"/>
        <w:autoSpaceDE/>
        <w:autoSpaceDN/>
        <w:bidi w:val="0"/>
        <w:adjustRightInd/>
        <w:spacing w:line="600" w:lineRule="exact"/>
        <w:ind w:left="0" w:leftChars="0"/>
        <w:textAlignment w:val="auto"/>
        <w:rPr>
          <w:rFonts w:ascii="宋体" w:hAnsi="宋体"/>
          <w:color w:val="auto"/>
          <w:sz w:val="28"/>
          <w:szCs w:val="28"/>
          <w:highlight w:val="none"/>
        </w:rPr>
      </w:pPr>
      <w:r>
        <w:rPr>
          <w:rFonts w:ascii="宋体" w:hAnsi="宋体"/>
          <w:color w:val="auto"/>
          <w:sz w:val="28"/>
          <w:szCs w:val="28"/>
          <w:highlight w:val="none"/>
        </w:rPr>
        <w:t>　　1.2.</w:t>
      </w:r>
      <w:r>
        <w:rPr>
          <w:rFonts w:hint="eastAsia" w:ascii="宋体" w:hAnsi="宋体"/>
          <w:color w:val="auto"/>
          <w:sz w:val="28"/>
          <w:szCs w:val="28"/>
          <w:highlight w:val="none"/>
        </w:rPr>
        <w:t>3</w:t>
      </w:r>
      <w:r>
        <w:rPr>
          <w:rFonts w:ascii="宋体" w:hAnsi="宋体"/>
          <w:color w:val="auto"/>
          <w:sz w:val="28"/>
          <w:szCs w:val="28"/>
          <w:highlight w:val="none"/>
        </w:rPr>
        <w:t>本合同对</w:t>
      </w:r>
      <w:r>
        <w:rPr>
          <w:rFonts w:hint="eastAsia" w:ascii="宋体" w:hAnsi="宋体"/>
          <w:color w:val="auto"/>
          <w:sz w:val="28"/>
          <w:szCs w:val="28"/>
          <w:highlight w:val="none"/>
        </w:rPr>
        <w:t>任一方</w:t>
      </w:r>
      <w:r>
        <w:rPr>
          <w:rFonts w:ascii="宋体" w:hAnsi="宋体"/>
          <w:color w:val="auto"/>
          <w:sz w:val="28"/>
          <w:szCs w:val="28"/>
          <w:highlight w:val="none"/>
        </w:rPr>
        <w:t>的合法承继者或受让人具有约束力。但</w:t>
      </w:r>
      <w:r>
        <w:rPr>
          <w:rFonts w:hint="eastAsia" w:ascii="宋体" w:hAnsi="宋体"/>
          <w:color w:val="auto"/>
          <w:sz w:val="28"/>
          <w:szCs w:val="28"/>
          <w:highlight w:val="none"/>
        </w:rPr>
        <w:t>国家及海南电力市场有关政策、交易规则以及政策制度文件另有规定或本合同</w:t>
      </w:r>
      <w:r>
        <w:rPr>
          <w:rFonts w:ascii="宋体" w:hAnsi="宋体"/>
          <w:color w:val="auto"/>
          <w:sz w:val="28"/>
          <w:szCs w:val="28"/>
          <w:highlight w:val="none"/>
        </w:rPr>
        <w:t>当事人另有约定的除外。</w:t>
      </w:r>
    </w:p>
    <w:p>
      <w:pPr>
        <w:keepNext w:val="0"/>
        <w:keepLines w:val="0"/>
        <w:pageBreakBefore w:val="0"/>
        <w:kinsoku/>
        <w:wordWrap/>
        <w:overflowPunct/>
        <w:topLinePunct w:val="0"/>
        <w:autoSpaceDE/>
        <w:autoSpaceDN/>
        <w:bidi w:val="0"/>
        <w:adjustRightInd/>
        <w:spacing w:line="600" w:lineRule="exact"/>
        <w:ind w:left="0" w:leftChars="0"/>
        <w:textAlignment w:val="auto"/>
        <w:rPr>
          <w:rFonts w:ascii="宋体" w:hAnsi="宋体"/>
          <w:color w:val="auto"/>
          <w:sz w:val="28"/>
          <w:szCs w:val="28"/>
          <w:highlight w:val="none"/>
        </w:rPr>
      </w:pPr>
      <w:r>
        <w:rPr>
          <w:rFonts w:ascii="宋体" w:hAnsi="宋体"/>
          <w:color w:val="auto"/>
          <w:sz w:val="28"/>
          <w:szCs w:val="28"/>
          <w:highlight w:val="none"/>
        </w:rPr>
        <w:t>　　遇有本款约定的情形时，相关义务人应当依法履行必要的通知义务及完备的法律手续。</w:t>
      </w:r>
    </w:p>
    <w:p>
      <w:pPr>
        <w:keepNext w:val="0"/>
        <w:keepLines w:val="0"/>
        <w:pageBreakBefore w:val="0"/>
        <w:kinsoku/>
        <w:wordWrap/>
        <w:overflowPunct/>
        <w:topLinePunct w:val="0"/>
        <w:autoSpaceDE/>
        <w:autoSpaceDN/>
        <w:bidi w:val="0"/>
        <w:adjustRightInd/>
        <w:spacing w:line="600" w:lineRule="exact"/>
        <w:ind w:left="0" w:leftChars="0"/>
        <w:textAlignment w:val="auto"/>
        <w:rPr>
          <w:rFonts w:ascii="宋体" w:hAnsi="宋体"/>
          <w:color w:val="auto"/>
          <w:sz w:val="28"/>
          <w:szCs w:val="28"/>
          <w:highlight w:val="none"/>
        </w:rPr>
      </w:pPr>
      <w:r>
        <w:rPr>
          <w:rFonts w:ascii="宋体" w:hAnsi="宋体"/>
          <w:color w:val="auto"/>
          <w:sz w:val="28"/>
          <w:szCs w:val="28"/>
          <w:highlight w:val="none"/>
        </w:rPr>
        <w:t>　　1.2.</w:t>
      </w:r>
      <w:r>
        <w:rPr>
          <w:rFonts w:hint="eastAsia" w:ascii="宋体" w:hAnsi="宋体"/>
          <w:color w:val="auto"/>
          <w:sz w:val="28"/>
          <w:szCs w:val="28"/>
          <w:highlight w:val="none"/>
        </w:rPr>
        <w:t>4</w:t>
      </w:r>
      <w:r>
        <w:rPr>
          <w:rFonts w:ascii="宋体" w:hAnsi="宋体"/>
          <w:color w:val="auto"/>
          <w:sz w:val="28"/>
          <w:szCs w:val="28"/>
          <w:highlight w:val="none"/>
        </w:rPr>
        <w:t>除上下文另有要求外，本合同所指日、月、年均为公历日、月、年。</w:t>
      </w:r>
    </w:p>
    <w:p>
      <w:pPr>
        <w:keepNext w:val="0"/>
        <w:keepLines w:val="0"/>
        <w:pageBreakBefore w:val="0"/>
        <w:kinsoku/>
        <w:wordWrap/>
        <w:overflowPunct/>
        <w:topLinePunct w:val="0"/>
        <w:autoSpaceDE/>
        <w:autoSpaceDN/>
        <w:bidi w:val="0"/>
        <w:adjustRightInd/>
        <w:spacing w:line="600" w:lineRule="exact"/>
        <w:ind w:left="0" w:leftChars="0" w:firstLine="560"/>
        <w:textAlignment w:val="auto"/>
        <w:rPr>
          <w:rFonts w:ascii="宋体" w:hAnsi="宋体"/>
          <w:color w:val="auto"/>
          <w:sz w:val="28"/>
          <w:szCs w:val="28"/>
          <w:highlight w:val="none"/>
        </w:rPr>
      </w:pPr>
      <w:r>
        <w:rPr>
          <w:rFonts w:ascii="宋体" w:hAnsi="宋体"/>
          <w:color w:val="auto"/>
          <w:sz w:val="28"/>
          <w:szCs w:val="28"/>
          <w:highlight w:val="none"/>
        </w:rPr>
        <w:t>1.2.</w:t>
      </w:r>
      <w:r>
        <w:rPr>
          <w:rFonts w:hint="eastAsia" w:ascii="宋体" w:hAnsi="宋体"/>
          <w:color w:val="auto"/>
          <w:sz w:val="28"/>
          <w:szCs w:val="28"/>
          <w:highlight w:val="none"/>
        </w:rPr>
        <w:t>5</w:t>
      </w:r>
      <w:r>
        <w:rPr>
          <w:rFonts w:ascii="宋体" w:hAnsi="宋体"/>
          <w:color w:val="auto"/>
          <w:sz w:val="28"/>
          <w:szCs w:val="28"/>
          <w:highlight w:val="none"/>
        </w:rPr>
        <w:t>合同中的“包括”一词指：包括但不限于。</w:t>
      </w:r>
    </w:p>
    <w:p>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hint="eastAsia" w:ascii="宋体" w:hAnsi="宋体"/>
          <w:color w:val="auto"/>
          <w:sz w:val="28"/>
          <w:szCs w:val="28"/>
          <w:highlight w:val="none"/>
          <w:lang w:val="en-US" w:eastAsia="zh-CN"/>
        </w:rPr>
      </w:pPr>
      <w:r>
        <w:rPr>
          <w:rFonts w:hint="default" w:ascii="宋体" w:hAnsi="宋体"/>
          <w:color w:val="auto"/>
          <w:sz w:val="28"/>
          <w:szCs w:val="28"/>
          <w:highlight w:val="none"/>
          <w:lang w:val="en-US" w:eastAsia="zh-CN"/>
        </w:rPr>
        <w:t>1.3</w:t>
      </w:r>
      <w:r>
        <w:rPr>
          <w:rFonts w:hint="eastAsia" w:ascii="宋体" w:hAnsi="宋体"/>
          <w:color w:val="auto"/>
          <w:sz w:val="28"/>
          <w:szCs w:val="28"/>
          <w:highlight w:val="none"/>
          <w:lang w:val="en-US" w:eastAsia="zh-CN"/>
        </w:rPr>
        <w:t>风险提示</w:t>
      </w:r>
    </w:p>
    <w:p>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hint="default" w:ascii="宋体" w:hAnsi="宋体"/>
          <w:color w:val="auto"/>
          <w:sz w:val="28"/>
          <w:szCs w:val="28"/>
          <w:highlight w:val="none"/>
          <w:lang w:val="en-US"/>
        </w:rPr>
      </w:pPr>
      <w:r>
        <w:rPr>
          <w:rFonts w:hint="eastAsia" w:ascii="宋体" w:hAnsi="宋体"/>
          <w:color w:val="auto"/>
          <w:sz w:val="28"/>
          <w:szCs w:val="28"/>
          <w:highlight w:val="none"/>
          <w:lang w:val="en-US" w:eastAsia="zh-CN"/>
        </w:rPr>
        <w:t>1.3.1</w:t>
      </w:r>
      <w:r>
        <w:rPr>
          <w:rFonts w:hint="default" w:ascii="宋体" w:hAnsi="宋体"/>
          <w:color w:val="auto"/>
          <w:sz w:val="28"/>
          <w:szCs w:val="28"/>
          <w:highlight w:val="none"/>
          <w:lang w:val="en-US"/>
        </w:rPr>
        <w:t>本合同中仅约定电能量电费</w:t>
      </w:r>
      <w:r>
        <w:rPr>
          <w:rFonts w:hint="eastAsia" w:ascii="宋体" w:hAnsi="宋体" w:cs="宋体"/>
          <w:color w:val="auto"/>
          <w:sz w:val="28"/>
          <w:szCs w:val="28"/>
          <w:highlight w:val="none"/>
          <w:lang w:val="en-US" w:eastAsia="zh-CN"/>
        </w:rPr>
        <w:t>和</w:t>
      </w:r>
      <w:r>
        <w:rPr>
          <w:rFonts w:hint="eastAsia" w:ascii="宋体" w:hAnsi="宋体"/>
          <w:color w:val="auto"/>
          <w:sz w:val="28"/>
          <w:szCs w:val="28"/>
          <w:highlight w:val="none"/>
        </w:rPr>
        <w:t>绿证价格费用</w:t>
      </w:r>
      <w:r>
        <w:rPr>
          <w:rFonts w:hint="default" w:ascii="宋体" w:hAnsi="宋体"/>
          <w:color w:val="auto"/>
          <w:sz w:val="28"/>
          <w:szCs w:val="28"/>
          <w:highlight w:val="none"/>
          <w:lang w:val="en-US"/>
        </w:rPr>
        <w:t>，非用户最终到户电费</w:t>
      </w:r>
      <w:r>
        <w:rPr>
          <w:rFonts w:hint="eastAsia" w:ascii="宋体" w:hAnsi="宋体"/>
          <w:color w:val="auto"/>
          <w:sz w:val="28"/>
          <w:szCs w:val="28"/>
          <w:highlight w:val="none"/>
          <w:lang w:val="en-US" w:eastAsia="zh-CN"/>
        </w:rPr>
        <w:t>，</w:t>
      </w:r>
      <w:r>
        <w:rPr>
          <w:rFonts w:hint="default" w:ascii="宋体" w:hAnsi="宋体"/>
          <w:color w:val="auto"/>
          <w:sz w:val="28"/>
          <w:szCs w:val="28"/>
          <w:highlight w:val="none"/>
        </w:rPr>
        <w:t>用户最终到户电费还包括上网环节线损费用、输配电价、系统运行费用、政府性基金及附加</w:t>
      </w:r>
      <w:r>
        <w:rPr>
          <w:rFonts w:hint="eastAsia" w:ascii="宋体" w:hAnsi="宋体"/>
          <w:color w:val="auto"/>
          <w:sz w:val="28"/>
          <w:szCs w:val="28"/>
          <w:highlight w:val="none"/>
          <w:lang w:val="en-US" w:eastAsia="zh-CN"/>
        </w:rPr>
        <w:t>等</w:t>
      </w:r>
      <w:r>
        <w:rPr>
          <w:rFonts w:hint="default" w:ascii="宋体" w:hAnsi="宋体"/>
          <w:color w:val="auto"/>
          <w:sz w:val="28"/>
          <w:szCs w:val="28"/>
          <w:highlight w:val="none"/>
        </w:rPr>
        <w:t>。其中，系统运行费用包括辅助服务费用、抽水蓄能容量电费等</w:t>
      </w:r>
      <w:r>
        <w:rPr>
          <w:rFonts w:hint="default" w:ascii="宋体" w:hAnsi="宋体"/>
          <w:color w:val="auto"/>
          <w:sz w:val="28"/>
          <w:szCs w:val="28"/>
          <w:highlight w:val="none"/>
          <w:lang w:val="en-US"/>
        </w:rPr>
        <w:t>。</w:t>
      </w:r>
      <w:r>
        <w:rPr>
          <w:rFonts w:hint="default" w:ascii="宋体" w:hAnsi="宋体"/>
          <w:color w:val="auto"/>
          <w:sz w:val="28"/>
          <w:szCs w:val="28"/>
          <w:highlight w:val="none"/>
        </w:rPr>
        <w:t>根据《国家发展改革委 国家能源局关于建立煤电容量电价机制的通知》（发改价格〔2023〕1501号）等文件精神，有关工商业用户分摊容量电费</w:t>
      </w:r>
      <w:r>
        <w:rPr>
          <w:rFonts w:hint="eastAsia" w:ascii="宋体" w:hAnsi="宋体"/>
          <w:color w:val="auto"/>
          <w:sz w:val="28"/>
          <w:szCs w:val="28"/>
          <w:highlight w:val="none"/>
          <w:lang w:val="en-US" w:eastAsia="zh-CN"/>
        </w:rPr>
        <w:t>按海南省政府印发方案执行</w:t>
      </w:r>
      <w:r>
        <w:rPr>
          <w:rFonts w:hint="default" w:ascii="宋体" w:hAnsi="宋体"/>
          <w:color w:val="auto"/>
          <w:sz w:val="28"/>
          <w:szCs w:val="28"/>
          <w:highlight w:val="none"/>
        </w:rPr>
        <w:t>。</w:t>
      </w:r>
      <w:r>
        <w:rPr>
          <w:rFonts w:hint="default" w:ascii="宋体" w:hAnsi="宋体"/>
          <w:color w:val="auto"/>
          <w:sz w:val="28"/>
          <w:szCs w:val="28"/>
          <w:highlight w:val="none"/>
          <w:lang w:val="en-US"/>
        </w:rPr>
        <w:t xml:space="preserve">用户在签订合同前请综合评估叠加各部分电费后的用电成本。 </w:t>
      </w:r>
    </w:p>
    <w:p>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hint="default" w:ascii="宋体" w:hAnsi="宋体"/>
          <w:color w:val="auto"/>
          <w:sz w:val="28"/>
          <w:szCs w:val="28"/>
          <w:highlight w:val="none"/>
          <w:lang w:val="en-US"/>
        </w:rPr>
      </w:pPr>
      <w:r>
        <w:rPr>
          <w:rFonts w:hint="eastAsia" w:ascii="宋体" w:hAnsi="宋体"/>
          <w:color w:val="auto"/>
          <w:sz w:val="28"/>
          <w:szCs w:val="28"/>
          <w:highlight w:val="none"/>
          <w:lang w:val="en-US" w:eastAsia="zh-CN"/>
        </w:rPr>
        <w:t>1.3.2</w:t>
      </w:r>
      <w:r>
        <w:rPr>
          <w:rFonts w:hint="default" w:ascii="宋体" w:hAnsi="宋体"/>
          <w:color w:val="auto"/>
          <w:sz w:val="28"/>
          <w:szCs w:val="28"/>
          <w:highlight w:val="none"/>
          <w:lang w:val="en-US"/>
        </w:rPr>
        <w:t>交易中心依据此合同约定进行结算。若双方另行签订的其他合同与本合同不一致所造成的双方损失或争议，由双方通过协商或司法途径处理解决。</w:t>
      </w:r>
    </w:p>
    <w:p>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hint="default" w:ascii="宋体" w:hAnsi="宋体"/>
          <w:color w:val="auto"/>
          <w:sz w:val="28"/>
          <w:szCs w:val="28"/>
          <w:highlight w:val="none"/>
          <w:lang w:val="en-US"/>
        </w:rPr>
      </w:pPr>
      <w:r>
        <w:rPr>
          <w:rFonts w:hint="eastAsia" w:ascii="宋体" w:hAnsi="宋体"/>
          <w:color w:val="auto"/>
          <w:sz w:val="28"/>
          <w:szCs w:val="28"/>
          <w:highlight w:val="none"/>
          <w:lang w:val="en-US" w:eastAsia="zh-CN"/>
        </w:rPr>
        <w:t>1.3.3</w:t>
      </w:r>
      <w:r>
        <w:rPr>
          <w:rFonts w:hint="default" w:ascii="宋体" w:hAnsi="宋体"/>
          <w:color w:val="auto"/>
          <w:sz w:val="28"/>
          <w:szCs w:val="28"/>
          <w:highlight w:val="none"/>
          <w:lang w:val="en-US"/>
        </w:rPr>
        <w:t>本合同</w:t>
      </w:r>
      <w:r>
        <w:rPr>
          <w:rFonts w:hint="eastAsia" w:ascii="宋体" w:hAnsi="宋体"/>
          <w:color w:val="auto"/>
          <w:sz w:val="28"/>
          <w:szCs w:val="28"/>
          <w:highlight w:val="none"/>
          <w:lang w:val="en-US" w:eastAsia="zh-CN"/>
        </w:rPr>
        <w:t>签订后需在交易平台</w:t>
      </w:r>
      <w:r>
        <w:rPr>
          <w:rFonts w:hint="default" w:ascii="宋体" w:hAnsi="宋体"/>
          <w:color w:val="auto"/>
          <w:sz w:val="28"/>
          <w:szCs w:val="28"/>
          <w:highlight w:val="none"/>
        </w:rPr>
        <w:t>进行零售关键信息登记</w:t>
      </w:r>
      <w:r>
        <w:rPr>
          <w:rFonts w:hint="default" w:ascii="宋体" w:hAnsi="宋体"/>
          <w:color w:val="auto"/>
          <w:sz w:val="28"/>
          <w:szCs w:val="28"/>
          <w:highlight w:val="none"/>
          <w:lang w:val="en-US"/>
        </w:rPr>
        <w:t>，请各经营主体谨慎妥善使用</w:t>
      </w:r>
      <w:r>
        <w:rPr>
          <w:rFonts w:hint="eastAsia" w:ascii="宋体" w:hAnsi="宋体"/>
          <w:color w:val="auto"/>
          <w:sz w:val="28"/>
          <w:szCs w:val="28"/>
          <w:highlight w:val="none"/>
          <w:lang w:val="en-US" w:eastAsia="zh-CN"/>
        </w:rPr>
        <w:t>登记</w:t>
      </w:r>
      <w:r>
        <w:rPr>
          <w:rFonts w:hint="default" w:ascii="宋体" w:hAnsi="宋体"/>
          <w:color w:val="auto"/>
          <w:sz w:val="28"/>
          <w:szCs w:val="28"/>
          <w:highlight w:val="none"/>
          <w:lang w:val="en-US"/>
        </w:rPr>
        <w:t>过程中须用到的验证码、</w:t>
      </w:r>
      <w:r>
        <w:rPr>
          <w:rFonts w:hint="eastAsia" w:ascii="宋体" w:hAnsi="宋体"/>
          <w:color w:val="auto"/>
          <w:sz w:val="28"/>
          <w:szCs w:val="28"/>
          <w:highlight w:val="none"/>
          <w:lang w:val="en-US" w:eastAsia="zh-CN"/>
        </w:rPr>
        <w:t>身份证、</w:t>
      </w:r>
      <w:r>
        <w:rPr>
          <w:rFonts w:hint="default" w:ascii="宋体" w:hAnsi="宋体"/>
          <w:color w:val="auto"/>
          <w:sz w:val="28"/>
          <w:szCs w:val="28"/>
          <w:highlight w:val="none"/>
          <w:lang w:val="en-US"/>
        </w:rPr>
        <w:t>人脸识别等信息，切勿泄露、配合、提供给其他方或相对方使用。</w:t>
      </w:r>
    </w:p>
    <w:p>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hint="default" w:ascii="宋体" w:hAnsi="宋体"/>
          <w:color w:val="auto"/>
          <w:sz w:val="28"/>
          <w:szCs w:val="28"/>
          <w:highlight w:val="none"/>
          <w:lang w:val="en-US"/>
        </w:rPr>
      </w:pPr>
      <w:r>
        <w:rPr>
          <w:rFonts w:hint="eastAsia" w:ascii="宋体" w:hAnsi="宋体"/>
          <w:color w:val="auto"/>
          <w:sz w:val="28"/>
          <w:szCs w:val="28"/>
          <w:highlight w:val="none"/>
          <w:lang w:val="en-US" w:eastAsia="zh-CN"/>
        </w:rPr>
        <w:t>1.3.4</w:t>
      </w:r>
      <w:r>
        <w:rPr>
          <w:rFonts w:hint="default" w:ascii="宋体" w:hAnsi="宋体"/>
          <w:color w:val="auto"/>
          <w:sz w:val="28"/>
          <w:szCs w:val="28"/>
          <w:highlight w:val="none"/>
          <w:lang w:val="en-US"/>
        </w:rPr>
        <w:t>电力用户应合理选择零售</w:t>
      </w:r>
      <w:r>
        <w:rPr>
          <w:rFonts w:hint="eastAsia" w:ascii="宋体" w:hAnsi="宋体"/>
          <w:color w:val="auto"/>
          <w:sz w:val="28"/>
          <w:szCs w:val="28"/>
          <w:highlight w:val="none"/>
          <w:lang w:val="en-US" w:eastAsia="zh-CN"/>
        </w:rPr>
        <w:t>套餐</w:t>
      </w:r>
      <w:r>
        <w:rPr>
          <w:rFonts w:hint="default" w:ascii="宋体" w:hAnsi="宋体"/>
          <w:color w:val="auto"/>
          <w:sz w:val="28"/>
          <w:szCs w:val="28"/>
          <w:highlight w:val="none"/>
          <w:lang w:val="en-US"/>
        </w:rPr>
        <w:t>。签订</w:t>
      </w:r>
      <w:r>
        <w:rPr>
          <w:rFonts w:hint="eastAsia" w:ascii="宋体" w:hAnsi="宋体"/>
          <w:color w:val="auto"/>
          <w:sz w:val="28"/>
          <w:szCs w:val="28"/>
          <w:highlight w:val="none"/>
          <w:lang w:val="en-US" w:eastAsia="zh-CN"/>
        </w:rPr>
        <w:t>固定价格+</w:t>
      </w:r>
      <w:r>
        <w:rPr>
          <w:rFonts w:hint="default" w:ascii="宋体" w:hAnsi="宋体"/>
          <w:color w:val="auto"/>
          <w:sz w:val="28"/>
          <w:szCs w:val="28"/>
          <w:highlight w:val="none"/>
          <w:lang w:val="en-US"/>
        </w:rPr>
        <w:t>市场联动</w:t>
      </w:r>
      <w:r>
        <w:rPr>
          <w:rFonts w:hint="eastAsia" w:ascii="宋体" w:hAnsi="宋体"/>
          <w:color w:val="auto"/>
          <w:sz w:val="28"/>
          <w:szCs w:val="28"/>
          <w:highlight w:val="none"/>
          <w:lang w:val="en-US" w:eastAsia="zh-CN"/>
        </w:rPr>
        <w:t>套餐</w:t>
      </w:r>
      <w:r>
        <w:rPr>
          <w:rFonts w:hint="default" w:ascii="宋体" w:hAnsi="宋体"/>
          <w:color w:val="auto"/>
          <w:sz w:val="28"/>
          <w:szCs w:val="28"/>
          <w:highlight w:val="none"/>
          <w:lang w:val="en-US"/>
        </w:rPr>
        <w:t>时，若高比例电量联动市场价格，电力用户用电价格会随批发市场价格可能有较大幅度的升高或降低。</w:t>
      </w:r>
    </w:p>
    <w:p>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hint="default" w:ascii="宋体" w:hAnsi="宋体"/>
          <w:color w:val="auto"/>
          <w:sz w:val="28"/>
          <w:szCs w:val="28"/>
          <w:highlight w:val="none"/>
          <w:lang w:val="en-US"/>
        </w:rPr>
      </w:pPr>
      <w:r>
        <w:rPr>
          <w:rFonts w:hint="eastAsia" w:ascii="宋体" w:hAnsi="宋体"/>
          <w:color w:val="auto"/>
          <w:sz w:val="28"/>
          <w:szCs w:val="28"/>
          <w:highlight w:val="none"/>
          <w:lang w:val="en-US" w:eastAsia="zh-CN"/>
        </w:rPr>
        <w:t>1.3.5</w:t>
      </w:r>
      <w:r>
        <w:rPr>
          <w:rFonts w:hint="default" w:ascii="宋体" w:hAnsi="宋体"/>
          <w:color w:val="auto"/>
          <w:sz w:val="28"/>
          <w:szCs w:val="28"/>
          <w:highlight w:val="none"/>
          <w:lang w:val="en-US"/>
        </w:rPr>
        <w:t>售电公司应综合考虑</w:t>
      </w:r>
      <w:r>
        <w:rPr>
          <w:rFonts w:hint="eastAsia" w:ascii="宋体" w:hAnsi="宋体"/>
          <w:color w:val="auto"/>
          <w:sz w:val="28"/>
          <w:szCs w:val="28"/>
          <w:highlight w:val="none"/>
          <w:lang w:val="en-US" w:eastAsia="zh-CN"/>
        </w:rPr>
        <w:t>在</w:t>
      </w:r>
      <w:r>
        <w:rPr>
          <w:rFonts w:hint="default" w:ascii="宋体" w:hAnsi="宋体"/>
          <w:color w:val="auto"/>
          <w:sz w:val="28"/>
          <w:szCs w:val="28"/>
          <w:highlight w:val="none"/>
          <w:lang w:val="en-US"/>
        </w:rPr>
        <w:t>批发市场</w:t>
      </w:r>
      <w:r>
        <w:rPr>
          <w:rFonts w:hint="eastAsia" w:ascii="宋体" w:hAnsi="宋体"/>
          <w:color w:val="auto"/>
          <w:sz w:val="28"/>
          <w:szCs w:val="28"/>
          <w:highlight w:val="none"/>
          <w:lang w:val="en-US" w:eastAsia="zh-CN"/>
        </w:rPr>
        <w:t>中的偏差考核及</w:t>
      </w:r>
      <w:r>
        <w:rPr>
          <w:rFonts w:hint="default" w:ascii="宋体" w:hAnsi="宋体"/>
          <w:color w:val="auto"/>
          <w:sz w:val="28"/>
          <w:szCs w:val="28"/>
          <w:highlight w:val="none"/>
          <w:lang w:val="en-US"/>
        </w:rPr>
        <w:t>分摊电费等购电成本，与零售用户协商确定零售合同价格及参数。</w:t>
      </w:r>
    </w:p>
    <w:p>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hint="default" w:ascii="宋体" w:hAnsi="宋体" w:eastAsia="宋体"/>
          <w:color w:val="auto"/>
          <w:sz w:val="28"/>
          <w:szCs w:val="28"/>
          <w:highlight w:val="none"/>
          <w:lang w:val="en-US" w:eastAsia="zh-CN"/>
        </w:rPr>
      </w:pPr>
      <w:r>
        <w:rPr>
          <w:rFonts w:hint="eastAsia" w:ascii="宋体" w:hAnsi="宋体"/>
          <w:color w:val="auto"/>
          <w:sz w:val="28"/>
          <w:szCs w:val="28"/>
          <w:highlight w:val="none"/>
          <w:lang w:val="en-US" w:eastAsia="zh-CN"/>
        </w:rPr>
        <w:t>1.3.6</w:t>
      </w:r>
      <w:r>
        <w:rPr>
          <w:rFonts w:hint="default" w:ascii="宋体" w:hAnsi="宋体"/>
          <w:color w:val="auto"/>
          <w:sz w:val="28"/>
          <w:szCs w:val="28"/>
          <w:highlight w:val="none"/>
          <w:lang w:val="en-US"/>
        </w:rPr>
        <w:t>对于上述风险提示，合同双方均已认真阅读、完全理解并同意，合同签署即视为知悉并同意上述风险提示的全部内容。</w:t>
      </w:r>
    </w:p>
    <w:p>
      <w:pPr>
        <w:pStyle w:val="13"/>
        <w:keepNext w:val="0"/>
        <w:keepLines w:val="0"/>
        <w:pageBreakBefore w:val="0"/>
        <w:kinsoku/>
        <w:wordWrap/>
        <w:overflowPunct/>
        <w:topLinePunct w:val="0"/>
        <w:autoSpaceDE/>
        <w:autoSpaceDN/>
        <w:bidi w:val="0"/>
        <w:adjustRightInd/>
        <w:spacing w:before="0" w:beforeAutospacing="0" w:after="0" w:afterAutospacing="0" w:line="600" w:lineRule="exact"/>
        <w:ind w:left="0" w:leftChars="0"/>
        <w:jc w:val="center"/>
        <w:textAlignment w:val="auto"/>
        <w:outlineLvl w:val="0"/>
        <w:rPr>
          <w:rFonts w:ascii="黑体" w:hAnsi="黑体" w:eastAsia="黑体" w:cs="黑体"/>
          <w:color w:val="auto"/>
          <w:sz w:val="30"/>
          <w:szCs w:val="30"/>
          <w:highlight w:val="none"/>
        </w:rPr>
      </w:pPr>
      <w:bookmarkStart w:id="20" w:name="_Toc24936"/>
      <w:bookmarkStart w:id="21" w:name="_Toc8350_WPSOffice_Level1"/>
      <w:bookmarkStart w:id="22" w:name="_Toc32217"/>
      <w:bookmarkStart w:id="23" w:name="_Toc16308"/>
      <w:bookmarkStart w:id="24" w:name="_Toc4667"/>
      <w:bookmarkStart w:id="25" w:name="_Toc18406_WPSOffice_Level1"/>
      <w:r>
        <w:rPr>
          <w:rFonts w:hint="eastAsia" w:ascii="黑体" w:hAnsi="黑体" w:eastAsia="黑体" w:cs="黑体"/>
          <w:color w:val="auto"/>
          <w:sz w:val="30"/>
          <w:szCs w:val="30"/>
          <w:highlight w:val="none"/>
        </w:rPr>
        <w:t>第2章　双方承诺</w:t>
      </w:r>
      <w:bookmarkEnd w:id="3"/>
      <w:bookmarkEnd w:id="4"/>
      <w:bookmarkEnd w:id="20"/>
      <w:bookmarkEnd w:id="21"/>
      <w:bookmarkEnd w:id="22"/>
      <w:bookmarkEnd w:id="23"/>
      <w:bookmarkEnd w:id="24"/>
      <w:bookmarkEnd w:id="25"/>
    </w:p>
    <w:p>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宋体" w:hAnsi="宋体"/>
          <w:color w:val="auto"/>
          <w:sz w:val="28"/>
          <w:szCs w:val="28"/>
          <w:highlight w:val="none"/>
        </w:rPr>
      </w:pPr>
      <w:bookmarkStart w:id="26" w:name="_Toc32342"/>
      <w:bookmarkStart w:id="27" w:name="_Toc17598"/>
      <w:bookmarkStart w:id="28" w:name="_Toc5373"/>
      <w:bookmarkStart w:id="29" w:name="_Toc12350"/>
      <w:r>
        <w:rPr>
          <w:rFonts w:hint="eastAsia" w:ascii="宋体" w:hAnsi="宋体"/>
          <w:color w:val="auto"/>
          <w:sz w:val="28"/>
          <w:szCs w:val="28"/>
          <w:highlight w:val="none"/>
        </w:rPr>
        <w:t>2.1任一方在此向对方承诺如下：</w:t>
      </w:r>
    </w:p>
    <w:p>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2.1.1本方为一家依法设立并合法存续的企业，已在</w:t>
      </w:r>
      <w:r>
        <w:rPr>
          <w:rFonts w:hint="eastAsia" w:ascii="宋体" w:hAnsi="宋体"/>
          <w:color w:val="auto"/>
          <w:sz w:val="28"/>
          <w:szCs w:val="28"/>
          <w:highlight w:val="none"/>
          <w:lang w:eastAsia="zh-CN"/>
        </w:rPr>
        <w:t>海南</w:t>
      </w:r>
      <w:r>
        <w:rPr>
          <w:rFonts w:hint="eastAsia" w:ascii="宋体" w:hAnsi="宋体"/>
          <w:color w:val="auto"/>
          <w:sz w:val="28"/>
          <w:szCs w:val="28"/>
          <w:highlight w:val="none"/>
        </w:rPr>
        <w:t>电力交易中心</w:t>
      </w:r>
      <w:r>
        <w:rPr>
          <w:rFonts w:hint="eastAsia" w:ascii="宋体" w:hAnsi="宋体" w:eastAsia="宋体"/>
          <w:color w:val="auto"/>
          <w:sz w:val="28"/>
          <w:szCs w:val="28"/>
          <w:highlight w:val="none"/>
        </w:rPr>
        <w:t>（以下简称“</w:t>
      </w:r>
      <w:r>
        <w:rPr>
          <w:rFonts w:hint="eastAsia" w:ascii="宋体" w:hAnsi="宋体"/>
          <w:color w:val="auto"/>
          <w:sz w:val="28"/>
          <w:szCs w:val="28"/>
          <w:highlight w:val="none"/>
          <w:lang w:eastAsia="zh-CN"/>
        </w:rPr>
        <w:t>交易中心</w:t>
      </w:r>
      <w:r>
        <w:rPr>
          <w:rFonts w:hint="eastAsia" w:ascii="宋体" w:hAnsi="宋体" w:eastAsia="宋体"/>
          <w:color w:val="auto"/>
          <w:sz w:val="28"/>
          <w:szCs w:val="28"/>
          <w:highlight w:val="none"/>
        </w:rPr>
        <w:t>”）</w:t>
      </w:r>
      <w:r>
        <w:rPr>
          <w:rFonts w:hint="eastAsia" w:ascii="宋体" w:hAnsi="宋体"/>
          <w:color w:val="auto"/>
          <w:sz w:val="28"/>
          <w:szCs w:val="28"/>
          <w:highlight w:val="none"/>
        </w:rPr>
        <w:t>完成注册，具备电力市场化交易的资格，有权签署并有能力履行本合同。</w:t>
      </w:r>
    </w:p>
    <w:p>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2.1.2本方签署和履行本合同所需的一切手续（包括办理必要的行政许可、取得市场准入条件、营业执照等）均已办妥并合法有效。</w:t>
      </w:r>
    </w:p>
    <w:p>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2.1.3在签署本合同时，任何法院、仲裁机构、行政机关或监管机构均未做出任何足以对本方履行本合同产生重大不利影响的判决、裁定、裁决、行政处罚或具体行政行为，以及信用不良记录。</w:t>
      </w:r>
    </w:p>
    <w:p>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2.2本方为签署本合同所需的内部授权程序均已完成。本合同生效后即对双方具有法律约束力。</w:t>
      </w:r>
    </w:p>
    <w:p>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2.3双方均已熟悉海南电力市场有关交易规则和管理制度、年度交易实施方案以及交易公告等，在签订本合同前，均已详细阅读并充分理解本合同的所有条款，认同交易中心发布的正式交易结果，愿意承担电力市场化交易可能存在的风险和后果。</w:t>
      </w:r>
    </w:p>
    <w:p>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2.4双方一致同意本合同按照政府主管部门以及交易中心印发的市场化交易相关规则、方案以及现行有效的管理办法规定开展电力零售交易。</w:t>
      </w:r>
    </w:p>
    <w:p>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2.5双方约定有义务确保双方在交易系统</w:t>
      </w:r>
      <w:r>
        <w:rPr>
          <w:rFonts w:hint="eastAsia" w:ascii="宋体" w:hAnsi="宋体" w:cs="宋体"/>
          <w:color w:val="auto"/>
          <w:sz w:val="28"/>
          <w:szCs w:val="28"/>
          <w:highlight w:val="none"/>
        </w:rPr>
        <w:t>线上确认的备案信息内容</w:t>
      </w:r>
      <w:r>
        <w:rPr>
          <w:rFonts w:hint="eastAsia" w:ascii="宋体" w:hAnsi="宋体"/>
          <w:color w:val="auto"/>
          <w:sz w:val="28"/>
          <w:szCs w:val="28"/>
          <w:highlight w:val="none"/>
        </w:rPr>
        <w:t>与本合同文本信息保持一致，因不一致产生的损失和后果由双方自愿承担。</w:t>
      </w:r>
    </w:p>
    <w:p>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2.</w:t>
      </w:r>
      <w:r>
        <w:rPr>
          <w:rFonts w:ascii="宋体" w:hAnsi="宋体"/>
          <w:color w:val="auto"/>
          <w:sz w:val="28"/>
          <w:szCs w:val="28"/>
          <w:highlight w:val="none"/>
        </w:rPr>
        <w:t>6</w:t>
      </w:r>
      <w:r>
        <w:rPr>
          <w:rFonts w:hint="eastAsia" w:ascii="宋体" w:hAnsi="宋体"/>
          <w:color w:val="auto"/>
          <w:sz w:val="28"/>
          <w:szCs w:val="28"/>
          <w:highlight w:val="none"/>
        </w:rPr>
        <w:t>如国家法律、法规发生变化或者政府有关部门、监管机构出台有关规定、规则，合同双方同意按照法律、法规、规定和规则予以调整和修改。</w:t>
      </w:r>
    </w:p>
    <w:p>
      <w:pPr>
        <w:pStyle w:val="13"/>
        <w:keepNext w:val="0"/>
        <w:keepLines w:val="0"/>
        <w:pageBreakBefore w:val="0"/>
        <w:kinsoku/>
        <w:wordWrap/>
        <w:overflowPunct/>
        <w:topLinePunct w:val="0"/>
        <w:autoSpaceDE/>
        <w:autoSpaceDN/>
        <w:bidi w:val="0"/>
        <w:adjustRightInd/>
        <w:spacing w:before="0" w:beforeAutospacing="0" w:after="0" w:afterAutospacing="0" w:line="600" w:lineRule="exact"/>
        <w:ind w:left="0" w:leftChars="0"/>
        <w:jc w:val="center"/>
        <w:textAlignment w:val="auto"/>
        <w:outlineLvl w:val="0"/>
        <w:rPr>
          <w:rFonts w:ascii="黑体" w:hAnsi="黑体" w:eastAsia="黑体" w:cs="黑体"/>
          <w:color w:val="auto"/>
          <w:sz w:val="30"/>
          <w:szCs w:val="30"/>
          <w:highlight w:val="none"/>
        </w:rPr>
      </w:pPr>
      <w:bookmarkStart w:id="30" w:name="_Toc1306_WPSOffice_Level1"/>
      <w:bookmarkStart w:id="31" w:name="_Toc28541"/>
      <w:bookmarkStart w:id="32" w:name="_Toc3645_WPSOffice_Level1"/>
      <w:bookmarkStart w:id="33" w:name="_Toc10893"/>
      <w:r>
        <w:rPr>
          <w:rFonts w:hint="eastAsia" w:ascii="黑体" w:hAnsi="黑体" w:eastAsia="黑体" w:cs="黑体"/>
          <w:color w:val="auto"/>
          <w:sz w:val="30"/>
          <w:szCs w:val="30"/>
          <w:highlight w:val="none"/>
        </w:rPr>
        <w:t>第3章　双方的权利和义务</w:t>
      </w:r>
      <w:bookmarkEnd w:id="26"/>
      <w:bookmarkEnd w:id="27"/>
      <w:bookmarkEnd w:id="28"/>
      <w:bookmarkEnd w:id="29"/>
      <w:bookmarkEnd w:id="30"/>
      <w:bookmarkEnd w:id="31"/>
      <w:bookmarkEnd w:id="32"/>
      <w:bookmarkEnd w:id="33"/>
    </w:p>
    <w:p>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3.1甲方的权利和义务</w:t>
      </w:r>
    </w:p>
    <w:p>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3.1.1服从电力市场交易规则</w:t>
      </w:r>
      <w:r>
        <w:rPr>
          <w:rFonts w:hint="eastAsia" w:ascii="宋体" w:hAnsi="宋体"/>
          <w:color w:val="auto"/>
          <w:sz w:val="28"/>
          <w:szCs w:val="28"/>
          <w:highlight w:val="none"/>
          <w:lang w:eastAsia="zh-CN"/>
        </w:rPr>
        <w:t>或</w:t>
      </w:r>
      <w:r>
        <w:rPr>
          <w:rFonts w:hint="eastAsia" w:ascii="宋体" w:hAnsi="宋体"/>
          <w:color w:val="auto"/>
          <w:sz w:val="28"/>
          <w:szCs w:val="28"/>
          <w:highlight w:val="none"/>
        </w:rPr>
        <w:t>相关规定。</w:t>
      </w:r>
    </w:p>
    <w:p>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3.1.2获得乙方履行本合同义务相关的工作计划信息、资料及查阅电能量计量数据。</w:t>
      </w:r>
    </w:p>
    <w:p>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3.1.3向乙方如实、完整提供电力交易基数电量、用电需求及其他生产运行等用电信息。</w:t>
      </w:r>
    </w:p>
    <w:p>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3.1.4在规定时间内对用网电量及对乙方提报的结算数据进行确认及反馈。</w:t>
      </w:r>
    </w:p>
    <w:p>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3.1.5保证在交易系统的用户档案信息准确、完备，相关权限和功能正常可用，向乙方提供与履行本合同相关的其他信息、资料；用户档案信息发生变化时，按规定向交易中心履行变更手续。</w:t>
      </w:r>
    </w:p>
    <w:p>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3.1.6及时书面告知乙方、交易中心以及其他相关方本企业无法履行的本合同义务，并处理好相关事宜。</w:t>
      </w:r>
    </w:p>
    <w:p>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3.1.7根据本合同约定承担法律后果，向乙方收取和支付违约金、损害赔偿金等。</w:t>
      </w:r>
    </w:p>
    <w:p>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3.1.8应对乙方的相关数据和资料承担相关保密义务。</w:t>
      </w:r>
    </w:p>
    <w:p>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3.1.9服从调度安排有序用电；发生紧急情况时，按照相关规定执行。</w:t>
      </w:r>
    </w:p>
    <w:p>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3.1.10按相关规定和合同约定支付</w:t>
      </w:r>
      <w:r>
        <w:rPr>
          <w:rFonts w:hint="eastAsia" w:ascii="宋体" w:hAnsi="宋体"/>
          <w:color w:val="auto"/>
          <w:sz w:val="28"/>
          <w:szCs w:val="28"/>
          <w:highlight w:val="none"/>
          <w:lang w:val="en-US" w:eastAsia="zh-CN"/>
        </w:rPr>
        <w:t>电能量</w:t>
      </w:r>
      <w:r>
        <w:rPr>
          <w:rFonts w:hint="eastAsia" w:ascii="宋体" w:hAnsi="宋体"/>
          <w:color w:val="auto"/>
          <w:sz w:val="28"/>
          <w:szCs w:val="28"/>
          <w:highlight w:val="none"/>
        </w:rPr>
        <w:t>电费、绿证价格费用</w:t>
      </w:r>
      <w:r>
        <w:rPr>
          <w:rFonts w:hint="eastAsia" w:ascii="宋体" w:hAnsi="宋体"/>
          <w:color w:val="auto"/>
          <w:sz w:val="28"/>
          <w:szCs w:val="28"/>
          <w:highlight w:val="none"/>
          <w:lang w:val="en-US" w:eastAsia="zh-CN"/>
        </w:rPr>
        <w:t>、</w:t>
      </w:r>
      <w:r>
        <w:rPr>
          <w:rFonts w:hint="eastAsia" w:ascii="宋体" w:hAnsi="宋体"/>
          <w:color w:val="auto"/>
          <w:sz w:val="28"/>
          <w:szCs w:val="28"/>
          <w:highlight w:val="none"/>
        </w:rPr>
        <w:t>基本电费、上网环节线损费用、输配电费、系统运行费用、政府性基金及附加等。退市时，应配合完成电量及费用清算。</w:t>
      </w:r>
    </w:p>
    <w:p>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3.2 乙方的权利和义务</w:t>
      </w:r>
    </w:p>
    <w:p>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3.2.1服从电力市场交易规则</w:t>
      </w:r>
      <w:r>
        <w:rPr>
          <w:rFonts w:hint="eastAsia" w:ascii="宋体" w:hAnsi="宋体"/>
          <w:color w:val="auto"/>
          <w:sz w:val="28"/>
          <w:szCs w:val="28"/>
          <w:highlight w:val="none"/>
          <w:lang w:eastAsia="zh-CN"/>
        </w:rPr>
        <w:t>或</w:t>
      </w:r>
      <w:r>
        <w:rPr>
          <w:rFonts w:hint="eastAsia" w:ascii="宋体" w:hAnsi="宋体"/>
          <w:color w:val="auto"/>
          <w:sz w:val="28"/>
          <w:szCs w:val="28"/>
          <w:highlight w:val="none"/>
        </w:rPr>
        <w:t>相关规定。</w:t>
      </w:r>
    </w:p>
    <w:p>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3.2.2按照本合同约定购买甲方所需的电量。</w:t>
      </w:r>
    </w:p>
    <w:p>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3.2.3获得甲方与履行本合同义务相关的信息、资料（包括生产计划和设备检修计划等）及查阅本合同有关的历史用电数据和计量数据。向甲方提供与履行本合同的其他信息。</w:t>
      </w:r>
    </w:p>
    <w:p>
      <w:pPr>
        <w:pStyle w:val="13"/>
        <w:keepNext w:val="0"/>
        <w:keepLines w:val="0"/>
        <w:pageBreakBefore w:val="0"/>
        <w:kinsoku/>
        <w:wordWrap/>
        <w:overflowPunct/>
        <w:topLinePunct w:val="0"/>
        <w:autoSpaceDE/>
        <w:autoSpaceDN/>
        <w:bidi w:val="0"/>
        <w:adjustRightInd/>
        <w:spacing w:before="0" w:beforeAutospacing="0" w:after="0" w:afterAutospacing="0" w:line="600" w:lineRule="exact"/>
        <w:ind w:left="0" w:leftChars="0" w:firstLine="560" w:firstLineChars="200"/>
        <w:textAlignment w:val="auto"/>
        <w:rPr>
          <w:color w:val="auto"/>
          <w:highlight w:val="none"/>
        </w:rPr>
      </w:pPr>
      <w:r>
        <w:rPr>
          <w:rFonts w:hint="eastAsia" w:ascii="宋体" w:hAnsi="宋体"/>
          <w:color w:val="auto"/>
          <w:sz w:val="28"/>
          <w:szCs w:val="28"/>
          <w:highlight w:val="none"/>
        </w:rPr>
        <w:t>3.2.4配合提供其所服务甲方容量、电量、负荷曲线及其他生产运行信息，并对相关信息的真实性、准确性负责。</w:t>
      </w:r>
    </w:p>
    <w:p>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3.2.5按照规则参与市场化交易，履行本合同约定的交易、服务、结算和收费等相关事宜。</w:t>
      </w:r>
    </w:p>
    <w:p>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3.2.6按照合同结算条款计算并在规定时间内向交易中心提报甲方的月度结算电量、电价和考核电量、电费等结算信息。</w:t>
      </w:r>
    </w:p>
    <w:p>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3.2.7及时书面告知甲方、交易中心以及其他相关方本企业无法履行的本合同义务，并处理好相关事宜。</w:t>
      </w:r>
    </w:p>
    <w:p>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3.2.8根据本合同约定承担法律后果，向甲方收取和支付违约金、损害赔偿金等。</w:t>
      </w:r>
    </w:p>
    <w:p>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3.2.9应对甲方的相关数据和资料承担相关保密义务。</w:t>
      </w:r>
    </w:p>
    <w:p>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3.2.10发生紧急情况时，按照相关规定执行。</w:t>
      </w:r>
    </w:p>
    <w:p>
      <w:pPr>
        <w:pStyle w:val="13"/>
        <w:keepNext w:val="0"/>
        <w:keepLines w:val="0"/>
        <w:pageBreakBefore w:val="0"/>
        <w:kinsoku/>
        <w:wordWrap/>
        <w:overflowPunct/>
        <w:topLinePunct w:val="0"/>
        <w:autoSpaceDE/>
        <w:autoSpaceDN/>
        <w:bidi w:val="0"/>
        <w:adjustRightInd/>
        <w:spacing w:before="0" w:beforeAutospacing="0" w:after="0" w:afterAutospacing="0" w:line="600" w:lineRule="exact"/>
        <w:ind w:left="0" w:leftChars="0"/>
        <w:jc w:val="center"/>
        <w:textAlignment w:val="auto"/>
        <w:outlineLvl w:val="0"/>
        <w:rPr>
          <w:rFonts w:ascii="黑体" w:hAnsi="黑体" w:eastAsia="黑体" w:cs="黑体"/>
          <w:color w:val="auto"/>
          <w:sz w:val="30"/>
          <w:szCs w:val="30"/>
          <w:highlight w:val="none"/>
        </w:rPr>
      </w:pPr>
      <w:bookmarkStart w:id="34" w:name="_Toc21265_WPSOffice_Level1"/>
      <w:bookmarkStart w:id="35" w:name="_Toc19528"/>
      <w:bookmarkStart w:id="36" w:name="_Toc32271_WPSOffice_Level1"/>
      <w:bookmarkStart w:id="37" w:name="_Toc25766"/>
      <w:bookmarkStart w:id="38" w:name="_Toc4225"/>
      <w:bookmarkStart w:id="39" w:name="_Toc31597"/>
      <w:bookmarkStart w:id="40" w:name="_Toc14357"/>
      <w:bookmarkStart w:id="41" w:name="_Toc28862"/>
      <w:bookmarkStart w:id="42" w:name="_Toc11486"/>
      <w:bookmarkStart w:id="43" w:name="_Toc3018"/>
      <w:r>
        <w:rPr>
          <w:rFonts w:hint="eastAsia" w:ascii="黑体" w:hAnsi="黑体" w:eastAsia="黑体" w:cs="黑体"/>
          <w:color w:val="auto"/>
          <w:sz w:val="30"/>
          <w:szCs w:val="30"/>
          <w:highlight w:val="none"/>
        </w:rPr>
        <w:t>第4章　结算事宜</w:t>
      </w:r>
      <w:bookmarkEnd w:id="34"/>
      <w:bookmarkEnd w:id="35"/>
      <w:bookmarkEnd w:id="36"/>
      <w:bookmarkEnd w:id="37"/>
      <w:bookmarkEnd w:id="38"/>
      <w:bookmarkEnd w:id="39"/>
      <w:bookmarkEnd w:id="40"/>
      <w:bookmarkEnd w:id="41"/>
      <w:bookmarkEnd w:id="42"/>
      <w:bookmarkEnd w:id="43"/>
    </w:p>
    <w:p>
      <w:pPr>
        <w:keepNext w:val="0"/>
        <w:keepLines w:val="0"/>
        <w:pageBreakBefore w:val="0"/>
        <w:kinsoku/>
        <w:wordWrap/>
        <w:overflowPunct/>
        <w:topLinePunct w:val="0"/>
        <w:autoSpaceDE/>
        <w:autoSpaceDN/>
        <w:bidi w:val="0"/>
        <w:adjustRightInd/>
        <w:spacing w:line="600" w:lineRule="exact"/>
        <w:ind w:left="0" w:leftChars="0" w:firstLine="641"/>
        <w:textAlignment w:val="auto"/>
        <w:rPr>
          <w:rFonts w:ascii="宋体" w:hAnsi="宋体"/>
          <w:color w:val="auto"/>
          <w:sz w:val="28"/>
          <w:szCs w:val="28"/>
          <w:highlight w:val="none"/>
        </w:rPr>
      </w:pPr>
      <w:bookmarkStart w:id="44" w:name="_Toc19038"/>
      <w:bookmarkStart w:id="45" w:name="_Toc23154"/>
      <w:r>
        <w:rPr>
          <w:rFonts w:hint="eastAsia" w:ascii="宋体" w:hAnsi="宋体"/>
          <w:color w:val="auto"/>
          <w:sz w:val="28"/>
          <w:szCs w:val="28"/>
          <w:highlight w:val="none"/>
        </w:rPr>
        <w:t>4.1甲乙双方一致同意：由乙方通过交易中心组织的市场化交易为甲方采购零售服务期限内合同电量，并由乙方按照双方在交易系统上确认的零售备案信息内容（含合同起止时间、零售结算模式等）开展零售结算。</w:t>
      </w:r>
    </w:p>
    <w:p>
      <w:pPr>
        <w:keepNext w:val="0"/>
        <w:keepLines w:val="0"/>
        <w:pageBreakBefore w:val="0"/>
        <w:kinsoku/>
        <w:wordWrap/>
        <w:overflowPunct/>
        <w:topLinePunct w:val="0"/>
        <w:autoSpaceDE/>
        <w:autoSpaceDN/>
        <w:bidi w:val="0"/>
        <w:adjustRightInd/>
        <w:snapToGrid w:val="0"/>
        <w:spacing w:line="600" w:lineRule="exact"/>
        <w:ind w:left="0" w:leftChars="0"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rPr>
        <w:t>4.2本合同约定的价格均含税</w:t>
      </w:r>
      <w:r>
        <w:rPr>
          <w:rFonts w:hint="eastAsia" w:ascii="宋体" w:hAnsi="宋体"/>
          <w:color w:val="auto"/>
          <w:sz w:val="28"/>
          <w:szCs w:val="28"/>
          <w:highlight w:val="none"/>
          <w:lang w:eastAsia="zh-CN"/>
        </w:rPr>
        <w:t>，</w:t>
      </w:r>
      <w:r>
        <w:rPr>
          <w:rFonts w:hint="eastAsia" w:ascii="宋体" w:hAnsi="宋体"/>
          <w:color w:val="auto"/>
          <w:sz w:val="28"/>
          <w:szCs w:val="28"/>
          <w:highlight w:val="none"/>
        </w:rPr>
        <w:t>若国家税率调整，本合同</w:t>
      </w:r>
      <w:r>
        <w:rPr>
          <w:rFonts w:hint="eastAsia" w:ascii="宋体" w:hAnsi="宋体"/>
          <w:color w:val="auto"/>
          <w:sz w:val="28"/>
          <w:szCs w:val="28"/>
          <w:highlight w:val="none"/>
          <w:lang w:val="en-US" w:eastAsia="zh-CN"/>
        </w:rPr>
        <w:t>非</w:t>
      </w:r>
      <w:r>
        <w:rPr>
          <w:rFonts w:hint="eastAsia" w:ascii="宋体" w:hAnsi="宋体"/>
          <w:color w:val="auto"/>
          <w:sz w:val="28"/>
          <w:szCs w:val="28"/>
          <w:highlight w:val="none"/>
        </w:rPr>
        <w:t>含税电价保持不变。</w:t>
      </w:r>
    </w:p>
    <w:p>
      <w:pPr>
        <w:keepNext w:val="0"/>
        <w:keepLines w:val="0"/>
        <w:pageBreakBefore w:val="0"/>
        <w:kinsoku/>
        <w:wordWrap/>
        <w:overflowPunct/>
        <w:topLinePunct w:val="0"/>
        <w:autoSpaceDE/>
        <w:autoSpaceDN/>
        <w:bidi w:val="0"/>
        <w:adjustRightInd/>
        <w:snapToGrid w:val="0"/>
        <w:spacing w:line="600" w:lineRule="exact"/>
        <w:ind w:left="0" w:leftChars="0" w:firstLine="560" w:firstLineChars="200"/>
        <w:textAlignment w:val="auto"/>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电能量电费=零售交易电费+峰谷浮动电费（若有）</w:t>
      </w:r>
      <w:r>
        <w:rPr>
          <w:rFonts w:hint="eastAsia" w:ascii="宋体" w:hAnsi="宋体" w:eastAsia="宋体" w:cs="宋体"/>
          <w:color w:val="auto"/>
          <w:sz w:val="28"/>
          <w:szCs w:val="28"/>
          <w:highlight w:val="none"/>
          <w:shd w:val="clear" w:color="auto" w:fill="FFFFFF"/>
          <w:lang w:val="en-US" w:eastAsia="zh-CN"/>
        </w:rPr>
        <w:t>+服务费（若有）</w:t>
      </w:r>
      <w:r>
        <w:rPr>
          <w:rFonts w:hint="eastAsia" w:ascii="宋体" w:hAnsi="宋体"/>
          <w:color w:val="auto"/>
          <w:sz w:val="28"/>
          <w:szCs w:val="28"/>
          <w:highlight w:val="none"/>
          <w:lang w:val="en-US" w:eastAsia="zh-CN"/>
        </w:rPr>
        <w:t>。</w:t>
      </w:r>
    </w:p>
    <w:p>
      <w:pPr>
        <w:keepNext w:val="0"/>
        <w:keepLines w:val="0"/>
        <w:pageBreakBefore w:val="0"/>
        <w:kinsoku/>
        <w:wordWrap/>
        <w:overflowPunct/>
        <w:topLinePunct w:val="0"/>
        <w:autoSpaceDE/>
        <w:autoSpaceDN/>
        <w:bidi w:val="0"/>
        <w:adjustRightInd/>
        <w:snapToGrid w:val="0"/>
        <w:spacing w:line="600" w:lineRule="exact"/>
        <w:ind w:left="0" w:leftChars="0" w:firstLine="560" w:firstLineChars="200"/>
        <w:textAlignment w:val="auto"/>
        <w:rPr>
          <w:rFonts w:hint="eastAsia" w:ascii="宋体" w:hAnsi="宋体" w:eastAsia="宋体" w:cs="宋体"/>
          <w:b w:val="0"/>
          <w:bCs w:val="0"/>
          <w:color w:val="auto"/>
          <w:sz w:val="28"/>
          <w:szCs w:val="28"/>
          <w:highlight w:val="none"/>
          <w:shd w:val="clear" w:color="auto" w:fill="FFFFFF"/>
          <w:lang w:eastAsia="zh-CN"/>
        </w:rPr>
      </w:pPr>
      <w:r>
        <w:rPr>
          <w:rFonts w:hint="eastAsia" w:ascii="宋体" w:hAnsi="宋体"/>
          <w:color w:val="auto"/>
          <w:sz w:val="28"/>
          <w:szCs w:val="28"/>
          <w:highlight w:val="none"/>
          <w:lang w:val="en-US" w:eastAsia="zh-CN"/>
        </w:rPr>
        <w:t>其中：零售交易电费根据4.5确定的结算套餐计算，峰谷浮动电费根据</w:t>
      </w:r>
      <w:r>
        <w:rPr>
          <w:rFonts w:hint="eastAsia" w:ascii="宋体" w:hAnsi="宋体" w:eastAsia="宋体" w:cs="宋体"/>
          <w:b w:val="0"/>
          <w:bCs w:val="0"/>
          <w:color w:val="auto"/>
          <w:sz w:val="28"/>
          <w:szCs w:val="28"/>
          <w:highlight w:val="none"/>
          <w:shd w:val="clear" w:color="auto" w:fill="FFFFFF"/>
        </w:rPr>
        <w:t>甲方</w:t>
      </w:r>
      <w:r>
        <w:rPr>
          <w:rFonts w:hint="eastAsia" w:ascii="宋体" w:hAnsi="宋体" w:eastAsia="宋体" w:cs="宋体"/>
          <w:color w:val="auto"/>
          <w:sz w:val="28"/>
          <w:szCs w:val="28"/>
          <w:highlight w:val="none"/>
          <w:shd w:val="clear" w:color="auto" w:fill="FFFFFF"/>
        </w:rPr>
        <w:t>名下各工商业计量点</w:t>
      </w:r>
      <w:r>
        <w:rPr>
          <w:rFonts w:hint="eastAsia" w:ascii="宋体" w:hAnsi="宋体" w:eastAsia="宋体" w:cs="宋体"/>
          <w:b w:val="0"/>
          <w:bCs w:val="0"/>
          <w:color w:val="auto"/>
          <w:sz w:val="28"/>
          <w:szCs w:val="28"/>
          <w:highlight w:val="none"/>
          <w:shd w:val="clear" w:color="auto" w:fill="FFFFFF"/>
        </w:rPr>
        <w:t>的各时段用电电量</w:t>
      </w:r>
      <w:r>
        <w:rPr>
          <w:rFonts w:hint="eastAsia" w:ascii="宋体" w:hAnsi="宋体" w:eastAsia="宋体" w:cs="宋体"/>
          <w:b w:val="0"/>
          <w:bCs w:val="0"/>
          <w:color w:val="auto"/>
          <w:sz w:val="28"/>
          <w:szCs w:val="28"/>
          <w:highlight w:val="none"/>
          <w:shd w:val="clear" w:color="auto" w:fill="FFFFFF"/>
          <w:lang w:val="en-US" w:eastAsia="zh-CN"/>
        </w:rPr>
        <w:t>进行峰谷分时段结算，具体算法按</w:t>
      </w:r>
      <w:r>
        <w:rPr>
          <w:rFonts w:hint="eastAsia" w:ascii="宋体" w:hAnsi="宋体" w:eastAsia="宋体" w:cs="宋体"/>
          <w:color w:val="auto"/>
          <w:sz w:val="28"/>
          <w:szCs w:val="28"/>
          <w:highlight w:val="none"/>
          <w:shd w:val="clear" w:color="auto" w:fill="FFFFFF"/>
        </w:rPr>
        <w:t>《海南电力市场结算实施细则》执行</w:t>
      </w:r>
      <w:r>
        <w:rPr>
          <w:rFonts w:hint="eastAsia" w:ascii="宋体" w:hAnsi="宋体" w:eastAsia="宋体" w:cs="宋体"/>
          <w:b w:val="0"/>
          <w:bCs w:val="0"/>
          <w:color w:val="auto"/>
          <w:sz w:val="28"/>
          <w:szCs w:val="28"/>
          <w:highlight w:val="none"/>
          <w:shd w:val="clear" w:color="auto" w:fill="FFFFFF"/>
          <w:lang w:eastAsia="zh-CN"/>
        </w:rPr>
        <w:t>。</w:t>
      </w:r>
      <w:r>
        <w:rPr>
          <w:rFonts w:hint="eastAsia" w:ascii="宋体" w:hAnsi="宋体" w:eastAsia="宋体" w:cs="宋体"/>
          <w:b w:val="0"/>
          <w:bCs w:val="0"/>
          <w:color w:val="auto"/>
          <w:sz w:val="28"/>
          <w:szCs w:val="28"/>
          <w:highlight w:val="none"/>
          <w:shd w:val="clear" w:color="auto" w:fill="FFFFFF"/>
        </w:rPr>
        <w:t>峰谷时段</w:t>
      </w:r>
      <w:r>
        <w:rPr>
          <w:rFonts w:hint="eastAsia" w:ascii="宋体" w:hAnsi="宋体" w:eastAsia="宋体" w:cs="宋体"/>
          <w:b w:val="0"/>
          <w:bCs w:val="0"/>
          <w:color w:val="auto"/>
          <w:sz w:val="28"/>
          <w:szCs w:val="28"/>
          <w:highlight w:val="none"/>
          <w:shd w:val="clear" w:color="auto" w:fill="FFFFFF"/>
          <w:lang w:eastAsia="zh-CN"/>
        </w:rPr>
        <w:t>、</w:t>
      </w:r>
      <w:r>
        <w:rPr>
          <w:rFonts w:hint="eastAsia" w:ascii="宋体" w:hAnsi="宋体" w:eastAsia="宋体" w:cs="宋体"/>
          <w:b w:val="0"/>
          <w:bCs w:val="0"/>
          <w:color w:val="auto"/>
          <w:sz w:val="28"/>
          <w:szCs w:val="28"/>
          <w:highlight w:val="none"/>
          <w:shd w:val="clear" w:color="auto" w:fill="FFFFFF"/>
        </w:rPr>
        <w:t>具体执行范围</w:t>
      </w:r>
      <w:r>
        <w:rPr>
          <w:rFonts w:hint="eastAsia" w:ascii="宋体" w:hAnsi="宋体" w:eastAsia="宋体" w:cs="宋体"/>
          <w:b w:val="0"/>
          <w:bCs w:val="0"/>
          <w:color w:val="auto"/>
          <w:sz w:val="28"/>
          <w:szCs w:val="28"/>
          <w:highlight w:val="none"/>
          <w:shd w:val="clear" w:color="auto" w:fill="FFFFFF"/>
          <w:lang w:eastAsia="zh-CN"/>
        </w:rPr>
        <w:t>以及峰谷比例</w:t>
      </w:r>
      <w:r>
        <w:rPr>
          <w:rFonts w:hint="eastAsia" w:ascii="宋体" w:hAnsi="宋体" w:eastAsia="宋体" w:cs="宋体"/>
          <w:b w:val="0"/>
          <w:bCs w:val="0"/>
          <w:color w:val="auto"/>
          <w:sz w:val="28"/>
          <w:szCs w:val="28"/>
          <w:highlight w:val="none"/>
          <w:shd w:val="clear" w:color="auto" w:fill="FFFFFF"/>
        </w:rPr>
        <w:t>按照《海南省发展和改革委员会关于进一步完善峰谷分时电价机制有关问题的通知》（琼发改规</w:t>
      </w:r>
      <w:r>
        <w:rPr>
          <w:rFonts w:hint="eastAsia" w:ascii="宋体" w:hAnsi="宋体" w:cs="宋体"/>
          <w:b w:val="0"/>
          <w:bCs w:val="0"/>
          <w:color w:val="auto"/>
          <w:sz w:val="28"/>
          <w:szCs w:val="28"/>
          <w:highlight w:val="none"/>
          <w:shd w:val="clear" w:color="auto" w:fill="FFFFFF"/>
          <w:lang w:eastAsia="zh-CN"/>
        </w:rPr>
        <w:t>〔2021〕18号</w:t>
      </w:r>
      <w:r>
        <w:rPr>
          <w:rFonts w:hint="eastAsia" w:ascii="宋体" w:hAnsi="宋体" w:eastAsia="宋体" w:cs="宋体"/>
          <w:b w:val="0"/>
          <w:bCs w:val="0"/>
          <w:color w:val="auto"/>
          <w:sz w:val="28"/>
          <w:szCs w:val="28"/>
          <w:highlight w:val="none"/>
          <w:shd w:val="clear" w:color="auto" w:fill="FFFFFF"/>
        </w:rPr>
        <w:t>）的规定</w:t>
      </w:r>
      <w:r>
        <w:rPr>
          <w:rFonts w:hint="eastAsia" w:ascii="宋体" w:hAnsi="宋体" w:eastAsia="宋体" w:cs="宋体"/>
          <w:b w:val="0"/>
          <w:bCs w:val="0"/>
          <w:color w:val="auto"/>
          <w:sz w:val="28"/>
          <w:szCs w:val="28"/>
          <w:highlight w:val="none"/>
          <w:shd w:val="clear" w:color="auto" w:fill="FFFFFF"/>
          <w:lang w:eastAsia="zh-CN"/>
        </w:rPr>
        <w:t>执行</w:t>
      </w:r>
      <w:r>
        <w:rPr>
          <w:rFonts w:hint="eastAsia" w:ascii="宋体" w:hAnsi="宋体" w:eastAsia="宋体" w:cs="宋体"/>
          <w:b w:val="0"/>
          <w:bCs w:val="0"/>
          <w:color w:val="auto"/>
          <w:sz w:val="28"/>
          <w:szCs w:val="28"/>
          <w:highlight w:val="none"/>
          <w:shd w:val="clear" w:color="auto" w:fill="FFFFFF"/>
        </w:rPr>
        <w:t>，如遇调整按新规定执行。</w:t>
      </w:r>
    </w:p>
    <w:p>
      <w:pPr>
        <w:keepNext w:val="0"/>
        <w:keepLines w:val="0"/>
        <w:pageBreakBefore w:val="0"/>
        <w:kinsoku/>
        <w:wordWrap/>
        <w:overflowPunct/>
        <w:topLinePunct w:val="0"/>
        <w:autoSpaceDE/>
        <w:autoSpaceDN/>
        <w:bidi w:val="0"/>
        <w:adjustRightInd/>
        <w:spacing w:line="600" w:lineRule="exact"/>
        <w:ind w:left="0" w:leftChars="0" w:firstLine="641"/>
        <w:textAlignment w:val="auto"/>
        <w:rPr>
          <w:rFonts w:ascii="宋体" w:hAnsi="宋体"/>
          <w:color w:val="auto"/>
          <w:sz w:val="28"/>
          <w:szCs w:val="28"/>
          <w:highlight w:val="none"/>
        </w:rPr>
      </w:pPr>
      <w:r>
        <w:rPr>
          <w:rFonts w:hint="eastAsia" w:ascii="宋体" w:hAnsi="宋体"/>
          <w:color w:val="auto"/>
          <w:sz w:val="28"/>
          <w:szCs w:val="28"/>
          <w:highlight w:val="none"/>
        </w:rPr>
        <w:t>4.3</w:t>
      </w:r>
      <w:r>
        <w:rPr>
          <w:rFonts w:hint="eastAsia" w:ascii="宋体" w:hAnsi="宋体" w:cs="宋体"/>
          <w:bCs/>
          <w:color w:val="auto"/>
          <w:sz w:val="28"/>
          <w:szCs w:val="28"/>
          <w:highlight w:val="none"/>
        </w:rPr>
        <w:t>甲乙双方须从零售</w:t>
      </w:r>
      <w:r>
        <w:rPr>
          <w:rFonts w:hint="eastAsia" w:ascii="宋体" w:hAnsi="宋体" w:cs="宋体"/>
          <w:bCs/>
          <w:color w:val="auto"/>
          <w:sz w:val="28"/>
          <w:szCs w:val="28"/>
          <w:highlight w:val="none"/>
          <w:lang w:val="en-US" w:eastAsia="zh-CN"/>
        </w:rPr>
        <w:t>套餐</w:t>
      </w:r>
      <w:r>
        <w:rPr>
          <w:rFonts w:hint="eastAsia" w:ascii="宋体" w:hAnsi="宋体" w:cs="宋体"/>
          <w:bCs/>
          <w:color w:val="auto"/>
          <w:sz w:val="28"/>
          <w:szCs w:val="28"/>
          <w:highlight w:val="none"/>
        </w:rPr>
        <w:t>库中选择零售</w:t>
      </w:r>
      <w:r>
        <w:rPr>
          <w:rFonts w:hint="eastAsia" w:ascii="宋体" w:hAnsi="宋体" w:cs="宋体"/>
          <w:bCs/>
          <w:color w:val="auto"/>
          <w:sz w:val="28"/>
          <w:szCs w:val="28"/>
          <w:highlight w:val="none"/>
          <w:lang w:val="en-US" w:eastAsia="zh-CN"/>
        </w:rPr>
        <w:t>套餐</w:t>
      </w:r>
      <w:r>
        <w:rPr>
          <w:rFonts w:hint="eastAsia" w:ascii="宋体" w:hAnsi="宋体" w:cs="宋体"/>
          <w:bCs/>
          <w:color w:val="auto"/>
          <w:sz w:val="28"/>
          <w:szCs w:val="28"/>
          <w:highlight w:val="none"/>
        </w:rPr>
        <w:t>，</w:t>
      </w:r>
      <w:r>
        <w:rPr>
          <w:rFonts w:hint="eastAsia" w:ascii="宋体" w:hAnsi="宋体" w:cs="宋体"/>
          <w:bCs/>
          <w:color w:val="auto"/>
          <w:sz w:val="28"/>
          <w:szCs w:val="28"/>
          <w:highlight w:val="none"/>
          <w:lang w:val="en-US" w:eastAsia="zh-CN"/>
        </w:rPr>
        <w:t>偏差电量考核和资金分摊及返还费用由乙方</w:t>
      </w:r>
      <w:r>
        <w:rPr>
          <w:rFonts w:hint="eastAsia" w:ascii="宋体" w:hAnsi="宋体" w:cs="宋体"/>
          <w:bCs/>
          <w:color w:val="auto"/>
          <w:sz w:val="28"/>
          <w:szCs w:val="28"/>
          <w:highlight w:val="none"/>
        </w:rPr>
        <w:t>通过</w:t>
      </w:r>
      <w:r>
        <w:rPr>
          <w:rFonts w:hint="eastAsia" w:ascii="宋体" w:hAnsi="宋体" w:cs="宋体"/>
          <w:bCs/>
          <w:color w:val="auto"/>
          <w:sz w:val="28"/>
          <w:szCs w:val="28"/>
          <w:highlight w:val="none"/>
          <w:lang w:val="en-US" w:eastAsia="zh-CN"/>
        </w:rPr>
        <w:t>甲方选择零售套餐中的固定价格/交易基准价或服务费进行</w:t>
      </w:r>
      <w:r>
        <w:rPr>
          <w:rFonts w:hint="eastAsia" w:ascii="宋体" w:hAnsi="宋体" w:cs="宋体"/>
          <w:bCs/>
          <w:color w:val="auto"/>
          <w:sz w:val="28"/>
          <w:szCs w:val="28"/>
          <w:highlight w:val="none"/>
        </w:rPr>
        <w:t>传导。</w:t>
      </w:r>
    </w:p>
    <w:p>
      <w:pPr>
        <w:keepNext w:val="0"/>
        <w:keepLines w:val="0"/>
        <w:pageBreakBefore w:val="0"/>
        <w:kinsoku/>
        <w:wordWrap/>
        <w:overflowPunct/>
        <w:topLinePunct w:val="0"/>
        <w:autoSpaceDE/>
        <w:autoSpaceDN/>
        <w:bidi w:val="0"/>
        <w:adjustRightInd/>
        <w:spacing w:line="600" w:lineRule="exact"/>
        <w:ind w:left="0" w:leftChars="0" w:firstLine="641"/>
        <w:textAlignment w:val="auto"/>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4.4合同电量</w:t>
      </w:r>
    </w:p>
    <w:p>
      <w:pPr>
        <w:keepNext w:val="0"/>
        <w:keepLines w:val="0"/>
        <w:pageBreakBefore w:val="0"/>
        <w:kinsoku/>
        <w:wordWrap/>
        <w:overflowPunct/>
        <w:topLinePunct w:val="0"/>
        <w:autoSpaceDE/>
        <w:autoSpaceDN/>
        <w:bidi w:val="0"/>
        <w:adjustRightInd/>
        <w:spacing w:line="600" w:lineRule="exact"/>
        <w:ind w:left="0" w:leftChars="0" w:firstLine="570"/>
        <w:textAlignment w:val="auto"/>
        <w:rPr>
          <w:rFonts w:ascii="宋体" w:hAnsi="宋体" w:cs="宋体"/>
          <w:bCs/>
          <w:color w:val="auto"/>
          <w:sz w:val="28"/>
          <w:szCs w:val="28"/>
          <w:highlight w:val="none"/>
        </w:rPr>
      </w:pPr>
      <w:r>
        <w:rPr>
          <w:rFonts w:hint="eastAsia" w:ascii="宋体" w:hAnsi="宋体" w:cs="宋体"/>
          <w:bCs/>
          <w:color w:val="auto"/>
          <w:sz w:val="28"/>
          <w:szCs w:val="28"/>
          <w:highlight w:val="none"/>
        </w:rPr>
        <w:t>甲方委托乙方采购符合条件要求的电量。双方约定，零售服务期限内交易电量为</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万千瓦时，初步分月计划</w:t>
      </w:r>
      <w:r>
        <w:rPr>
          <w:rFonts w:hint="eastAsia" w:ascii="宋体" w:hAnsi="宋体" w:cs="宋体"/>
          <w:bCs/>
          <w:color w:val="auto"/>
          <w:sz w:val="28"/>
          <w:szCs w:val="28"/>
          <w:highlight w:val="none"/>
          <w:lang w:val="en-US" w:eastAsia="zh-CN"/>
        </w:rPr>
        <w:t>电量</w:t>
      </w:r>
      <w:r>
        <w:rPr>
          <w:rFonts w:hint="eastAsia" w:ascii="宋体" w:hAnsi="宋体" w:cs="宋体"/>
          <w:bCs/>
          <w:color w:val="auto"/>
          <w:sz w:val="28"/>
          <w:szCs w:val="28"/>
          <w:highlight w:val="none"/>
        </w:rPr>
        <w:t>如下：</w:t>
      </w:r>
    </w:p>
    <w:tbl>
      <w:tblPr>
        <w:tblStyle w:val="1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547"/>
        <w:gridCol w:w="1548"/>
        <w:gridCol w:w="1548"/>
        <w:gridCol w:w="1548"/>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600" w:lineRule="exact"/>
              <w:jc w:val="center"/>
              <w:rPr>
                <w:rFonts w:ascii="宋体" w:hAnsi="宋体" w:cs="宋体"/>
                <w:b/>
                <w:color w:val="auto"/>
                <w:sz w:val="18"/>
                <w:szCs w:val="18"/>
                <w:highlight w:val="none"/>
              </w:rPr>
            </w:pPr>
            <w:r>
              <w:rPr>
                <w:rFonts w:hint="eastAsia" w:ascii="宋体" w:hAnsi="宋体" w:cs="宋体"/>
                <w:b/>
                <w:color w:val="auto"/>
                <w:sz w:val="18"/>
                <w:szCs w:val="18"/>
                <w:highlight w:val="none"/>
              </w:rPr>
              <w:t>时间</w:t>
            </w:r>
          </w:p>
        </w:tc>
        <w:tc>
          <w:tcPr>
            <w:tcW w:w="1547" w:type="dxa"/>
          </w:tcPr>
          <w:p>
            <w:pPr>
              <w:spacing w:line="600" w:lineRule="exact"/>
              <w:jc w:val="center"/>
              <w:rPr>
                <w:rFonts w:ascii="宋体" w:hAnsi="宋体" w:cs="宋体"/>
                <w:b/>
                <w:color w:val="auto"/>
                <w:sz w:val="18"/>
                <w:szCs w:val="18"/>
                <w:highlight w:val="none"/>
              </w:rPr>
            </w:pPr>
            <w:r>
              <w:rPr>
                <w:rFonts w:hint="eastAsia" w:ascii="宋体" w:hAnsi="宋体" w:cs="宋体"/>
                <w:b/>
                <w:color w:val="auto"/>
                <w:sz w:val="18"/>
                <w:szCs w:val="18"/>
                <w:highlight w:val="none"/>
              </w:rPr>
              <w:t>电量（万千瓦时）</w:t>
            </w:r>
          </w:p>
        </w:tc>
        <w:tc>
          <w:tcPr>
            <w:tcW w:w="1548" w:type="dxa"/>
          </w:tcPr>
          <w:p>
            <w:pPr>
              <w:spacing w:line="600" w:lineRule="exact"/>
              <w:jc w:val="center"/>
              <w:rPr>
                <w:rFonts w:ascii="宋体" w:hAnsi="宋体" w:cs="宋体"/>
                <w:b/>
                <w:color w:val="auto"/>
                <w:sz w:val="18"/>
                <w:szCs w:val="18"/>
                <w:highlight w:val="none"/>
              </w:rPr>
            </w:pPr>
            <w:r>
              <w:rPr>
                <w:rFonts w:hint="eastAsia" w:ascii="宋体" w:hAnsi="宋体" w:cs="宋体"/>
                <w:b/>
                <w:color w:val="auto"/>
                <w:sz w:val="18"/>
                <w:szCs w:val="18"/>
                <w:highlight w:val="none"/>
              </w:rPr>
              <w:t>时间</w:t>
            </w:r>
          </w:p>
        </w:tc>
        <w:tc>
          <w:tcPr>
            <w:tcW w:w="1548" w:type="dxa"/>
          </w:tcPr>
          <w:p>
            <w:pPr>
              <w:spacing w:line="600" w:lineRule="exact"/>
              <w:jc w:val="center"/>
              <w:rPr>
                <w:rFonts w:ascii="宋体" w:hAnsi="宋体" w:cs="宋体"/>
                <w:b/>
                <w:color w:val="auto"/>
                <w:sz w:val="18"/>
                <w:szCs w:val="18"/>
                <w:highlight w:val="none"/>
              </w:rPr>
            </w:pPr>
            <w:r>
              <w:rPr>
                <w:rFonts w:hint="eastAsia" w:ascii="宋体" w:hAnsi="宋体" w:cs="宋体"/>
                <w:b/>
                <w:color w:val="auto"/>
                <w:sz w:val="18"/>
                <w:szCs w:val="18"/>
                <w:highlight w:val="none"/>
              </w:rPr>
              <w:t>电量（万千瓦时）</w:t>
            </w:r>
          </w:p>
        </w:tc>
        <w:tc>
          <w:tcPr>
            <w:tcW w:w="1548" w:type="dxa"/>
          </w:tcPr>
          <w:p>
            <w:pPr>
              <w:spacing w:line="600" w:lineRule="exact"/>
              <w:jc w:val="center"/>
              <w:rPr>
                <w:rFonts w:ascii="宋体" w:hAnsi="宋体" w:cs="宋体"/>
                <w:b/>
                <w:color w:val="auto"/>
                <w:sz w:val="18"/>
                <w:szCs w:val="18"/>
                <w:highlight w:val="none"/>
              </w:rPr>
            </w:pPr>
            <w:r>
              <w:rPr>
                <w:rFonts w:hint="eastAsia" w:ascii="宋体" w:hAnsi="宋体" w:cs="宋体"/>
                <w:b/>
                <w:color w:val="auto"/>
                <w:sz w:val="18"/>
                <w:szCs w:val="18"/>
                <w:highlight w:val="none"/>
              </w:rPr>
              <w:t>时间</w:t>
            </w:r>
          </w:p>
        </w:tc>
        <w:tc>
          <w:tcPr>
            <w:tcW w:w="1548" w:type="dxa"/>
          </w:tcPr>
          <w:p>
            <w:pPr>
              <w:spacing w:line="600" w:lineRule="exact"/>
              <w:jc w:val="center"/>
              <w:rPr>
                <w:rFonts w:ascii="宋体" w:hAnsi="宋体" w:cs="宋体"/>
                <w:b/>
                <w:color w:val="auto"/>
                <w:sz w:val="18"/>
                <w:szCs w:val="18"/>
                <w:highlight w:val="none"/>
              </w:rPr>
            </w:pPr>
            <w:r>
              <w:rPr>
                <w:rFonts w:hint="eastAsia" w:ascii="宋体" w:hAnsi="宋体" w:cs="宋体"/>
                <w:b/>
                <w:color w:val="auto"/>
                <w:sz w:val="18"/>
                <w:szCs w:val="18"/>
                <w:highlight w:val="none"/>
              </w:rPr>
              <w:t>电量（万千瓦时）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47" w:type="dxa"/>
          </w:tcPr>
          <w:p>
            <w:pPr>
              <w:spacing w:line="600" w:lineRule="exact"/>
              <w:jc w:val="center"/>
              <w:rPr>
                <w:rFonts w:ascii="宋体" w:hAnsi="宋体" w:cs="宋体"/>
                <w:bCs/>
                <w:color w:val="auto"/>
                <w:szCs w:val="21"/>
                <w:highlight w:val="none"/>
              </w:rPr>
            </w:pPr>
            <w:r>
              <w:rPr>
                <w:rFonts w:hint="eastAsia" w:ascii="宋体" w:hAnsi="宋体" w:cs="宋体"/>
                <w:bCs/>
                <w:color w:val="auto"/>
                <w:szCs w:val="21"/>
                <w:highlight w:val="none"/>
              </w:rPr>
              <w:t>1月</w:t>
            </w:r>
          </w:p>
        </w:tc>
        <w:tc>
          <w:tcPr>
            <w:tcW w:w="1547" w:type="dxa"/>
          </w:tcPr>
          <w:p>
            <w:pPr>
              <w:spacing w:line="600" w:lineRule="exact"/>
              <w:jc w:val="center"/>
              <w:rPr>
                <w:rFonts w:ascii="宋体" w:hAnsi="宋体" w:cs="宋体"/>
                <w:bCs/>
                <w:color w:val="auto"/>
                <w:szCs w:val="21"/>
                <w:highlight w:val="none"/>
              </w:rPr>
            </w:pPr>
          </w:p>
        </w:tc>
        <w:tc>
          <w:tcPr>
            <w:tcW w:w="1548" w:type="dxa"/>
          </w:tcPr>
          <w:p>
            <w:pPr>
              <w:spacing w:line="600" w:lineRule="exact"/>
              <w:jc w:val="center"/>
              <w:rPr>
                <w:rFonts w:ascii="宋体" w:hAnsi="宋体" w:cs="宋体"/>
                <w:bCs/>
                <w:color w:val="auto"/>
                <w:szCs w:val="21"/>
                <w:highlight w:val="none"/>
              </w:rPr>
            </w:pPr>
            <w:r>
              <w:rPr>
                <w:rFonts w:hint="eastAsia" w:ascii="宋体" w:hAnsi="宋体" w:cs="宋体"/>
                <w:bCs/>
                <w:color w:val="auto"/>
                <w:szCs w:val="21"/>
                <w:highlight w:val="none"/>
              </w:rPr>
              <w:t>5月</w:t>
            </w:r>
          </w:p>
        </w:tc>
        <w:tc>
          <w:tcPr>
            <w:tcW w:w="1548" w:type="dxa"/>
          </w:tcPr>
          <w:p>
            <w:pPr>
              <w:spacing w:line="600" w:lineRule="exact"/>
              <w:jc w:val="center"/>
              <w:rPr>
                <w:rFonts w:ascii="宋体" w:hAnsi="宋体" w:cs="宋体"/>
                <w:bCs/>
                <w:color w:val="auto"/>
                <w:szCs w:val="21"/>
                <w:highlight w:val="none"/>
              </w:rPr>
            </w:pPr>
          </w:p>
        </w:tc>
        <w:tc>
          <w:tcPr>
            <w:tcW w:w="1548" w:type="dxa"/>
          </w:tcPr>
          <w:p>
            <w:pPr>
              <w:spacing w:line="600" w:lineRule="exact"/>
              <w:jc w:val="center"/>
              <w:rPr>
                <w:rFonts w:ascii="宋体" w:hAnsi="宋体" w:cs="宋体"/>
                <w:bCs/>
                <w:color w:val="auto"/>
                <w:szCs w:val="21"/>
                <w:highlight w:val="none"/>
              </w:rPr>
            </w:pPr>
            <w:r>
              <w:rPr>
                <w:rFonts w:hint="eastAsia" w:ascii="宋体" w:hAnsi="宋体" w:cs="宋体"/>
                <w:bCs/>
                <w:color w:val="auto"/>
                <w:szCs w:val="21"/>
                <w:highlight w:val="none"/>
              </w:rPr>
              <w:t>9月</w:t>
            </w:r>
          </w:p>
        </w:tc>
        <w:tc>
          <w:tcPr>
            <w:tcW w:w="1548" w:type="dxa"/>
          </w:tcPr>
          <w:p>
            <w:pPr>
              <w:spacing w:line="600" w:lineRule="exact"/>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547" w:type="dxa"/>
          </w:tcPr>
          <w:p>
            <w:pPr>
              <w:spacing w:line="600" w:lineRule="exact"/>
              <w:jc w:val="center"/>
              <w:rPr>
                <w:rFonts w:ascii="宋体" w:hAnsi="宋体" w:cs="宋体"/>
                <w:bCs/>
                <w:color w:val="auto"/>
                <w:szCs w:val="21"/>
                <w:highlight w:val="none"/>
              </w:rPr>
            </w:pPr>
            <w:r>
              <w:rPr>
                <w:rFonts w:hint="eastAsia" w:ascii="宋体" w:hAnsi="宋体" w:cs="宋体"/>
                <w:bCs/>
                <w:color w:val="auto"/>
                <w:szCs w:val="21"/>
                <w:highlight w:val="none"/>
              </w:rPr>
              <w:t>2月</w:t>
            </w:r>
          </w:p>
        </w:tc>
        <w:tc>
          <w:tcPr>
            <w:tcW w:w="1547" w:type="dxa"/>
          </w:tcPr>
          <w:p>
            <w:pPr>
              <w:spacing w:line="600" w:lineRule="exact"/>
              <w:jc w:val="center"/>
              <w:rPr>
                <w:rFonts w:ascii="宋体" w:hAnsi="宋体" w:cs="宋体"/>
                <w:bCs/>
                <w:color w:val="auto"/>
                <w:szCs w:val="21"/>
                <w:highlight w:val="none"/>
              </w:rPr>
            </w:pPr>
          </w:p>
        </w:tc>
        <w:tc>
          <w:tcPr>
            <w:tcW w:w="1548" w:type="dxa"/>
          </w:tcPr>
          <w:p>
            <w:pPr>
              <w:spacing w:line="600" w:lineRule="exact"/>
              <w:jc w:val="center"/>
              <w:rPr>
                <w:rFonts w:ascii="宋体" w:hAnsi="宋体" w:cs="宋体"/>
                <w:bCs/>
                <w:color w:val="auto"/>
                <w:szCs w:val="21"/>
                <w:highlight w:val="none"/>
              </w:rPr>
            </w:pPr>
            <w:r>
              <w:rPr>
                <w:rFonts w:hint="eastAsia" w:ascii="宋体" w:hAnsi="宋体" w:cs="宋体"/>
                <w:bCs/>
                <w:color w:val="auto"/>
                <w:szCs w:val="21"/>
                <w:highlight w:val="none"/>
              </w:rPr>
              <w:t>6月</w:t>
            </w:r>
          </w:p>
        </w:tc>
        <w:tc>
          <w:tcPr>
            <w:tcW w:w="1548" w:type="dxa"/>
          </w:tcPr>
          <w:p>
            <w:pPr>
              <w:spacing w:line="600" w:lineRule="exact"/>
              <w:jc w:val="center"/>
              <w:rPr>
                <w:rFonts w:ascii="宋体" w:hAnsi="宋体" w:cs="宋体"/>
                <w:bCs/>
                <w:color w:val="auto"/>
                <w:szCs w:val="21"/>
                <w:highlight w:val="none"/>
              </w:rPr>
            </w:pPr>
          </w:p>
        </w:tc>
        <w:tc>
          <w:tcPr>
            <w:tcW w:w="1548" w:type="dxa"/>
          </w:tcPr>
          <w:p>
            <w:pPr>
              <w:spacing w:line="600" w:lineRule="exact"/>
              <w:jc w:val="center"/>
              <w:rPr>
                <w:rFonts w:ascii="宋体" w:hAnsi="宋体" w:cs="宋体"/>
                <w:bCs/>
                <w:color w:val="auto"/>
                <w:szCs w:val="21"/>
                <w:highlight w:val="none"/>
              </w:rPr>
            </w:pPr>
            <w:r>
              <w:rPr>
                <w:rFonts w:hint="eastAsia" w:ascii="宋体" w:hAnsi="宋体" w:cs="宋体"/>
                <w:bCs/>
                <w:color w:val="auto"/>
                <w:szCs w:val="21"/>
                <w:highlight w:val="none"/>
              </w:rPr>
              <w:t>10月</w:t>
            </w:r>
          </w:p>
        </w:tc>
        <w:tc>
          <w:tcPr>
            <w:tcW w:w="1548" w:type="dxa"/>
          </w:tcPr>
          <w:p>
            <w:pPr>
              <w:spacing w:line="600" w:lineRule="exact"/>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47" w:type="dxa"/>
          </w:tcPr>
          <w:p>
            <w:pPr>
              <w:spacing w:line="600" w:lineRule="exact"/>
              <w:jc w:val="center"/>
              <w:rPr>
                <w:rFonts w:ascii="宋体" w:hAnsi="宋体" w:cs="宋体"/>
                <w:bCs/>
                <w:color w:val="auto"/>
                <w:szCs w:val="21"/>
                <w:highlight w:val="none"/>
              </w:rPr>
            </w:pPr>
            <w:r>
              <w:rPr>
                <w:rFonts w:hint="eastAsia" w:ascii="宋体" w:hAnsi="宋体" w:cs="宋体"/>
                <w:bCs/>
                <w:color w:val="auto"/>
                <w:szCs w:val="21"/>
                <w:highlight w:val="none"/>
              </w:rPr>
              <w:t>3月</w:t>
            </w:r>
          </w:p>
        </w:tc>
        <w:tc>
          <w:tcPr>
            <w:tcW w:w="1547" w:type="dxa"/>
          </w:tcPr>
          <w:p>
            <w:pPr>
              <w:spacing w:line="600" w:lineRule="exact"/>
              <w:jc w:val="center"/>
              <w:rPr>
                <w:rFonts w:ascii="宋体" w:hAnsi="宋体" w:cs="宋体"/>
                <w:bCs/>
                <w:color w:val="auto"/>
                <w:szCs w:val="21"/>
                <w:highlight w:val="none"/>
              </w:rPr>
            </w:pPr>
          </w:p>
        </w:tc>
        <w:tc>
          <w:tcPr>
            <w:tcW w:w="1548" w:type="dxa"/>
          </w:tcPr>
          <w:p>
            <w:pPr>
              <w:spacing w:line="600" w:lineRule="exact"/>
              <w:jc w:val="center"/>
              <w:rPr>
                <w:rFonts w:ascii="宋体" w:hAnsi="宋体" w:cs="宋体"/>
                <w:bCs/>
                <w:color w:val="auto"/>
                <w:szCs w:val="21"/>
                <w:highlight w:val="none"/>
              </w:rPr>
            </w:pPr>
            <w:r>
              <w:rPr>
                <w:rFonts w:hint="eastAsia" w:ascii="宋体" w:hAnsi="宋体" w:cs="宋体"/>
                <w:bCs/>
                <w:color w:val="auto"/>
                <w:szCs w:val="21"/>
                <w:highlight w:val="none"/>
              </w:rPr>
              <w:t>7月</w:t>
            </w:r>
          </w:p>
        </w:tc>
        <w:tc>
          <w:tcPr>
            <w:tcW w:w="1548" w:type="dxa"/>
          </w:tcPr>
          <w:p>
            <w:pPr>
              <w:spacing w:line="600" w:lineRule="exact"/>
              <w:jc w:val="center"/>
              <w:rPr>
                <w:rFonts w:ascii="宋体" w:hAnsi="宋体" w:cs="宋体"/>
                <w:bCs/>
                <w:color w:val="auto"/>
                <w:szCs w:val="21"/>
                <w:highlight w:val="none"/>
              </w:rPr>
            </w:pPr>
          </w:p>
        </w:tc>
        <w:tc>
          <w:tcPr>
            <w:tcW w:w="1548" w:type="dxa"/>
          </w:tcPr>
          <w:p>
            <w:pPr>
              <w:spacing w:line="600" w:lineRule="exact"/>
              <w:jc w:val="center"/>
              <w:rPr>
                <w:rFonts w:ascii="宋体" w:hAnsi="宋体" w:cs="宋体"/>
                <w:bCs/>
                <w:color w:val="auto"/>
                <w:szCs w:val="21"/>
                <w:highlight w:val="none"/>
              </w:rPr>
            </w:pPr>
            <w:r>
              <w:rPr>
                <w:rFonts w:hint="eastAsia" w:ascii="宋体" w:hAnsi="宋体" w:cs="宋体"/>
                <w:bCs/>
                <w:color w:val="auto"/>
                <w:szCs w:val="21"/>
                <w:highlight w:val="none"/>
              </w:rPr>
              <w:t>11月</w:t>
            </w:r>
          </w:p>
        </w:tc>
        <w:tc>
          <w:tcPr>
            <w:tcW w:w="1548" w:type="dxa"/>
          </w:tcPr>
          <w:p>
            <w:pPr>
              <w:spacing w:line="600" w:lineRule="exact"/>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547" w:type="dxa"/>
          </w:tcPr>
          <w:p>
            <w:pPr>
              <w:spacing w:line="600" w:lineRule="exact"/>
              <w:jc w:val="center"/>
              <w:rPr>
                <w:rFonts w:ascii="宋体" w:hAnsi="宋体" w:cs="宋体"/>
                <w:bCs/>
                <w:color w:val="auto"/>
                <w:szCs w:val="21"/>
                <w:highlight w:val="none"/>
              </w:rPr>
            </w:pPr>
            <w:r>
              <w:rPr>
                <w:rFonts w:hint="eastAsia" w:ascii="宋体" w:hAnsi="宋体" w:cs="宋体"/>
                <w:bCs/>
                <w:color w:val="auto"/>
                <w:szCs w:val="21"/>
                <w:highlight w:val="none"/>
              </w:rPr>
              <w:t>4月</w:t>
            </w:r>
          </w:p>
        </w:tc>
        <w:tc>
          <w:tcPr>
            <w:tcW w:w="1547" w:type="dxa"/>
          </w:tcPr>
          <w:p>
            <w:pPr>
              <w:spacing w:line="600" w:lineRule="exact"/>
              <w:jc w:val="center"/>
              <w:rPr>
                <w:rFonts w:ascii="宋体" w:hAnsi="宋体" w:cs="宋体"/>
                <w:bCs/>
                <w:color w:val="auto"/>
                <w:szCs w:val="21"/>
                <w:highlight w:val="none"/>
              </w:rPr>
            </w:pPr>
          </w:p>
        </w:tc>
        <w:tc>
          <w:tcPr>
            <w:tcW w:w="1548" w:type="dxa"/>
          </w:tcPr>
          <w:p>
            <w:pPr>
              <w:spacing w:line="600" w:lineRule="exact"/>
              <w:jc w:val="center"/>
              <w:rPr>
                <w:rFonts w:ascii="宋体" w:hAnsi="宋体" w:cs="宋体"/>
                <w:bCs/>
                <w:color w:val="auto"/>
                <w:szCs w:val="21"/>
                <w:highlight w:val="none"/>
              </w:rPr>
            </w:pPr>
            <w:r>
              <w:rPr>
                <w:rFonts w:hint="eastAsia" w:ascii="宋体" w:hAnsi="宋体" w:cs="宋体"/>
                <w:bCs/>
                <w:color w:val="auto"/>
                <w:szCs w:val="21"/>
                <w:highlight w:val="none"/>
              </w:rPr>
              <w:t>8月</w:t>
            </w:r>
          </w:p>
        </w:tc>
        <w:tc>
          <w:tcPr>
            <w:tcW w:w="1548" w:type="dxa"/>
          </w:tcPr>
          <w:p>
            <w:pPr>
              <w:spacing w:line="600" w:lineRule="exact"/>
              <w:jc w:val="center"/>
              <w:rPr>
                <w:rFonts w:ascii="宋体" w:hAnsi="宋体" w:cs="宋体"/>
                <w:bCs/>
                <w:color w:val="auto"/>
                <w:szCs w:val="21"/>
                <w:highlight w:val="none"/>
              </w:rPr>
            </w:pPr>
          </w:p>
        </w:tc>
        <w:tc>
          <w:tcPr>
            <w:tcW w:w="1548" w:type="dxa"/>
          </w:tcPr>
          <w:p>
            <w:pPr>
              <w:spacing w:line="600" w:lineRule="exact"/>
              <w:jc w:val="center"/>
              <w:rPr>
                <w:rFonts w:ascii="宋体" w:hAnsi="宋体" w:cs="宋体"/>
                <w:bCs/>
                <w:color w:val="auto"/>
                <w:szCs w:val="21"/>
                <w:highlight w:val="none"/>
              </w:rPr>
            </w:pPr>
            <w:r>
              <w:rPr>
                <w:rFonts w:hint="eastAsia" w:ascii="宋体" w:hAnsi="宋体" w:cs="宋体"/>
                <w:bCs/>
                <w:color w:val="auto"/>
                <w:szCs w:val="21"/>
                <w:highlight w:val="none"/>
              </w:rPr>
              <w:t>12月</w:t>
            </w:r>
          </w:p>
        </w:tc>
        <w:tc>
          <w:tcPr>
            <w:tcW w:w="1548" w:type="dxa"/>
          </w:tcPr>
          <w:p>
            <w:pPr>
              <w:spacing w:line="600" w:lineRule="exact"/>
              <w:jc w:val="center"/>
              <w:rPr>
                <w:rFonts w:ascii="宋体" w:hAnsi="宋体" w:cs="宋体"/>
                <w:bCs/>
                <w:color w:val="auto"/>
                <w:szCs w:val="21"/>
                <w:highlight w:val="none"/>
              </w:rPr>
            </w:pPr>
          </w:p>
        </w:tc>
      </w:tr>
    </w:tbl>
    <w:p>
      <w:pPr>
        <w:keepNext w:val="0"/>
        <w:keepLines w:val="0"/>
        <w:pageBreakBefore w:val="0"/>
        <w:widowControl w:val="0"/>
        <w:kinsoku/>
        <w:wordWrap/>
        <w:overflowPunct/>
        <w:topLinePunct w:val="0"/>
        <w:autoSpaceDE/>
        <w:autoSpaceDN/>
        <w:bidi w:val="0"/>
        <w:adjustRightInd/>
        <w:spacing w:line="600" w:lineRule="exact"/>
        <w:ind w:left="0" w:firstLine="570"/>
        <w:textAlignment w:val="auto"/>
        <w:rPr>
          <w:rFonts w:ascii="宋体" w:hAnsi="宋体" w:cs="宋体"/>
          <w:bCs/>
          <w:color w:val="auto"/>
          <w:szCs w:val="21"/>
          <w:highlight w:val="none"/>
        </w:rPr>
      </w:pPr>
      <w:r>
        <w:rPr>
          <w:rFonts w:hint="eastAsia" w:ascii="宋体" w:hAnsi="宋体" w:cs="宋体"/>
          <w:bCs/>
          <w:color w:val="auto"/>
          <w:szCs w:val="21"/>
          <w:highlight w:val="none"/>
        </w:rPr>
        <w:t>备注：以最终成交结果及申报的乙方用电量预测值为准。</w:t>
      </w:r>
    </w:p>
    <w:p>
      <w:pPr>
        <w:keepNext w:val="0"/>
        <w:keepLines w:val="0"/>
        <w:pageBreakBefore w:val="0"/>
        <w:widowControl w:val="0"/>
        <w:kinsoku/>
        <w:wordWrap/>
        <w:overflowPunct/>
        <w:topLinePunct w:val="0"/>
        <w:autoSpaceDE/>
        <w:autoSpaceDN/>
        <w:bidi w:val="0"/>
        <w:adjustRightInd/>
        <w:spacing w:line="600" w:lineRule="exact"/>
        <w:ind w:left="0" w:firstLine="641"/>
        <w:textAlignment w:val="auto"/>
        <w:rPr>
          <w:rFonts w:hint="default" w:ascii="宋体" w:hAnsi="宋体"/>
          <w:color w:val="auto"/>
          <w:sz w:val="28"/>
          <w:szCs w:val="28"/>
          <w:highlight w:val="none"/>
          <w:lang w:val="en-US" w:eastAsia="zh-CN"/>
        </w:rPr>
      </w:pPr>
      <w:r>
        <w:rPr>
          <w:rFonts w:hint="eastAsia" w:ascii="宋体" w:hAnsi="宋体"/>
          <w:color w:val="auto"/>
          <w:sz w:val="28"/>
          <w:szCs w:val="28"/>
          <w:highlight w:val="none"/>
          <w:lang w:val="en-US" w:eastAsia="zh-CN"/>
        </w:rPr>
        <w:t>4.5零售套餐</w:t>
      </w:r>
    </w:p>
    <w:p>
      <w:pPr>
        <w:keepNext w:val="0"/>
        <w:keepLines w:val="0"/>
        <w:pageBreakBefore w:val="0"/>
        <w:widowControl w:val="0"/>
        <w:numPr>
          <w:ilvl w:val="255"/>
          <w:numId w:val="0"/>
        </w:numPr>
        <w:kinsoku/>
        <w:wordWrap/>
        <w:overflowPunct/>
        <w:topLinePunct w:val="0"/>
        <w:autoSpaceDE/>
        <w:autoSpaceDN/>
        <w:bidi w:val="0"/>
        <w:adjustRightInd/>
        <w:spacing w:line="600" w:lineRule="exact"/>
        <w:ind w:left="0" w:firstLine="641"/>
        <w:textAlignment w:val="auto"/>
        <w:rPr>
          <w:rFonts w:ascii="Arial" w:hAnsi="Arial" w:cs="Arial"/>
          <w:color w:val="auto"/>
          <w:sz w:val="28"/>
          <w:szCs w:val="28"/>
          <w:highlight w:val="none"/>
        </w:rPr>
      </w:pPr>
      <w:r>
        <w:rPr>
          <w:rFonts w:hint="eastAsia" w:ascii="宋体" w:hAnsi="宋体" w:cs="宋体"/>
          <w:bCs/>
          <w:color w:val="auto"/>
          <w:sz w:val="28"/>
          <w:szCs w:val="28"/>
          <w:highlight w:val="none"/>
        </w:rPr>
        <w:t>双方一致同意按</w:t>
      </w:r>
      <w:r>
        <w:rPr>
          <w:rFonts w:hint="eastAsia" w:ascii="宋体" w:hAnsi="宋体" w:cs="宋体"/>
          <w:bCs/>
          <w:color w:val="auto"/>
          <w:sz w:val="28"/>
          <w:szCs w:val="28"/>
          <w:highlight w:val="none"/>
          <w:u w:val="single"/>
        </w:rPr>
        <w:t xml:space="preserve">     </w:t>
      </w:r>
      <w:r>
        <w:rPr>
          <w:rFonts w:ascii="宋体" w:hAnsi="宋体" w:cs="宋体"/>
          <w:bCs/>
          <w:color w:val="auto"/>
          <w:sz w:val="28"/>
          <w:szCs w:val="28"/>
          <w:highlight w:val="none"/>
          <w:u w:val="single"/>
        </w:rPr>
        <w:t xml:space="preserve">      </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 xml:space="preserve"> （必选项，</w:t>
      </w:r>
      <w:r>
        <w:rPr>
          <w:rFonts w:hint="eastAsia" w:ascii="宋体" w:hAnsi="宋体"/>
          <w:color w:val="auto"/>
          <w:sz w:val="28"/>
          <w:szCs w:val="28"/>
          <w:highlight w:val="none"/>
          <w:lang w:val="en-US" w:eastAsia="zh-CN"/>
        </w:rPr>
        <w:t>固定价格套餐、</w:t>
      </w:r>
      <w:r>
        <w:rPr>
          <w:rFonts w:hint="eastAsia" w:ascii="Arial" w:hAnsi="Arial" w:cs="Arial"/>
          <w:color w:val="auto"/>
          <w:sz w:val="28"/>
          <w:szCs w:val="28"/>
          <w:highlight w:val="none"/>
        </w:rPr>
        <w:t>固定</w:t>
      </w:r>
      <w:r>
        <w:rPr>
          <w:rFonts w:hint="eastAsia" w:ascii="宋体" w:hAnsi="宋体"/>
          <w:color w:val="auto"/>
          <w:sz w:val="28"/>
          <w:szCs w:val="28"/>
          <w:highlight w:val="none"/>
          <w:lang w:val="en-US" w:eastAsia="zh-CN"/>
        </w:rPr>
        <w:t>价格</w:t>
      </w:r>
      <w:r>
        <w:rPr>
          <w:rFonts w:hint="eastAsia" w:ascii="Arial" w:hAnsi="Arial" w:cs="Arial"/>
          <w:color w:val="auto"/>
          <w:sz w:val="28"/>
          <w:szCs w:val="28"/>
          <w:highlight w:val="none"/>
        </w:rPr>
        <w:t>+市场联动</w:t>
      </w:r>
      <w:r>
        <w:rPr>
          <w:rFonts w:hint="eastAsia" w:ascii="Arial" w:hAnsi="Arial" w:cs="Arial"/>
          <w:color w:val="auto"/>
          <w:sz w:val="28"/>
          <w:szCs w:val="28"/>
          <w:highlight w:val="none"/>
          <w:lang w:val="en-US" w:eastAsia="zh-CN"/>
        </w:rPr>
        <w:t>套餐</w:t>
      </w:r>
      <w:r>
        <w:rPr>
          <w:rFonts w:hint="eastAsia" w:ascii="Arial" w:hAnsi="Arial" w:cs="Arial"/>
          <w:color w:val="auto"/>
          <w:sz w:val="28"/>
          <w:szCs w:val="28"/>
          <w:highlight w:val="none"/>
        </w:rPr>
        <w:t>、比例分成</w:t>
      </w:r>
      <w:r>
        <w:rPr>
          <w:rFonts w:hint="eastAsia" w:ascii="Arial" w:hAnsi="Arial" w:cs="Arial"/>
          <w:color w:val="auto"/>
          <w:sz w:val="28"/>
          <w:szCs w:val="28"/>
          <w:highlight w:val="none"/>
          <w:lang w:val="en-US" w:eastAsia="zh-CN"/>
        </w:rPr>
        <w:t>套餐</w:t>
      </w:r>
      <w:r>
        <w:rPr>
          <w:rFonts w:hint="eastAsia" w:ascii="Arial" w:hAnsi="Arial" w:cs="Arial"/>
          <w:color w:val="auto"/>
          <w:sz w:val="28"/>
          <w:szCs w:val="28"/>
          <w:highlight w:val="none"/>
        </w:rPr>
        <w:t>、</w:t>
      </w:r>
      <w:r>
        <w:rPr>
          <w:rFonts w:hint="eastAsia" w:ascii="Arial" w:hAnsi="Arial" w:cs="Arial"/>
          <w:color w:val="auto"/>
          <w:sz w:val="28"/>
          <w:szCs w:val="28"/>
          <w:highlight w:val="none"/>
          <w:lang w:val="en-US" w:eastAsia="zh-CN"/>
        </w:rPr>
        <w:t>固定价格+</w:t>
      </w:r>
      <w:r>
        <w:rPr>
          <w:rFonts w:hint="eastAsia" w:ascii="Arial" w:hAnsi="Arial" w:cs="Arial"/>
          <w:color w:val="auto"/>
          <w:sz w:val="28"/>
          <w:szCs w:val="28"/>
          <w:highlight w:val="none"/>
        </w:rPr>
        <w:t>服务费</w:t>
      </w:r>
      <w:r>
        <w:rPr>
          <w:rFonts w:hint="eastAsia" w:ascii="Arial" w:hAnsi="Arial" w:cs="Arial"/>
          <w:color w:val="auto"/>
          <w:sz w:val="28"/>
          <w:szCs w:val="28"/>
          <w:highlight w:val="none"/>
          <w:lang w:val="en-US" w:eastAsia="zh-CN"/>
        </w:rPr>
        <w:t>套餐</w:t>
      </w:r>
      <w:r>
        <w:rPr>
          <w:rFonts w:hint="eastAsia" w:ascii="Arial" w:hAnsi="Arial" w:cs="Arial"/>
          <w:color w:val="auto"/>
          <w:sz w:val="28"/>
          <w:szCs w:val="28"/>
          <w:highlight w:val="none"/>
        </w:rPr>
        <w:t>，任选其一）</w:t>
      </w:r>
      <w:r>
        <w:rPr>
          <w:rFonts w:hint="eastAsia" w:ascii="宋体" w:hAnsi="宋体" w:cs="宋体"/>
          <w:bCs/>
          <w:color w:val="auto"/>
          <w:sz w:val="28"/>
          <w:szCs w:val="28"/>
          <w:highlight w:val="none"/>
        </w:rPr>
        <w:t>确定</w:t>
      </w:r>
      <w:r>
        <w:rPr>
          <w:rFonts w:hint="eastAsia" w:ascii="宋体" w:hAnsi="宋体" w:cs="宋体"/>
          <w:bCs/>
          <w:color w:val="auto"/>
          <w:sz w:val="28"/>
          <w:szCs w:val="28"/>
          <w:highlight w:val="none"/>
          <w:lang w:val="en-US" w:eastAsia="zh-CN"/>
        </w:rPr>
        <w:t>零售交易电费及服务费</w:t>
      </w:r>
      <w:r>
        <w:rPr>
          <w:rFonts w:hint="eastAsia" w:ascii="宋体" w:hAnsi="宋体" w:cs="宋体"/>
          <w:bCs/>
          <w:color w:val="auto"/>
          <w:sz w:val="28"/>
          <w:szCs w:val="28"/>
          <w:highlight w:val="none"/>
        </w:rPr>
        <w:t>。</w:t>
      </w:r>
    </w:p>
    <w:p>
      <w:pPr>
        <w:keepNext w:val="0"/>
        <w:keepLines w:val="0"/>
        <w:pageBreakBefore w:val="0"/>
        <w:widowControl w:val="0"/>
        <w:kinsoku/>
        <w:wordWrap/>
        <w:overflowPunct/>
        <w:topLinePunct w:val="0"/>
        <w:autoSpaceDE/>
        <w:autoSpaceDN/>
        <w:bidi w:val="0"/>
        <w:adjustRightInd/>
        <w:spacing w:line="600" w:lineRule="exact"/>
        <w:ind w:left="0" w:firstLine="641"/>
        <w:textAlignment w:val="auto"/>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4.5.1固定价格套餐</w:t>
      </w:r>
    </w:p>
    <w:p>
      <w:pPr>
        <w:pStyle w:val="4"/>
        <w:keepNext w:val="0"/>
        <w:keepLines w:val="0"/>
        <w:pageBreakBefore w:val="0"/>
        <w:widowControl w:val="0"/>
        <w:kinsoku/>
        <w:wordWrap/>
        <w:overflowPunct/>
        <w:topLinePunct w:val="0"/>
        <w:autoSpaceDE/>
        <w:autoSpaceDN/>
        <w:bidi w:val="0"/>
        <w:adjustRightInd/>
        <w:snapToGrid/>
        <w:spacing w:before="0" w:after="0" w:line="600" w:lineRule="exact"/>
        <w:ind w:left="0" w:firstLine="560" w:firstLineChars="200"/>
        <w:jc w:val="both"/>
        <w:textAlignment w:val="auto"/>
        <w:outlineLvl w:val="9"/>
        <w:rPr>
          <w:rFonts w:hint="eastAsia" w:cs="宋体"/>
          <w:b w:val="0"/>
          <w:bCs w:val="0"/>
          <w:color w:val="auto"/>
          <w:sz w:val="28"/>
          <w:szCs w:val="28"/>
          <w:highlight w:val="none"/>
          <w:shd w:val="clear" w:color="auto" w:fill="FFFFFF"/>
          <w:lang w:eastAsia="zh-CN"/>
        </w:rPr>
      </w:pPr>
      <w:bookmarkStart w:id="46" w:name="_Toc22961"/>
      <w:r>
        <w:rPr>
          <w:rFonts w:hint="eastAsia" w:ascii="宋体" w:hAnsi="宋体" w:eastAsia="宋体" w:cs="宋体"/>
          <w:b w:val="0"/>
          <w:bCs w:val="0"/>
          <w:color w:val="auto"/>
          <w:sz w:val="28"/>
          <w:szCs w:val="28"/>
          <w:highlight w:val="none"/>
          <w:shd w:val="clear" w:color="auto" w:fill="FFFFFF"/>
        </w:rPr>
        <w:t>甲方</w:t>
      </w:r>
      <w:r>
        <w:rPr>
          <w:rFonts w:hint="eastAsia"/>
          <w:b w:val="0"/>
          <w:bCs w:val="0"/>
          <w:color w:val="auto"/>
          <w:sz w:val="28"/>
          <w:szCs w:val="28"/>
          <w:highlight w:val="none"/>
          <w:shd w:val="clear" w:color="auto" w:fill="FFFFFF"/>
        </w:rPr>
        <w:t>名下各工商业计量点实际总用电量（</w:t>
      </w:r>
      <w:r>
        <w:rPr>
          <w:rFonts w:hint="eastAsia"/>
          <w:b w:val="0"/>
          <w:bCs w:val="0"/>
          <w:color w:val="auto"/>
          <w:sz w:val="28"/>
          <w:szCs w:val="28"/>
          <w:highlight w:val="none"/>
          <w:shd w:val="clear" w:color="auto" w:fill="FFFFFF"/>
          <w:lang w:val="en-US" w:eastAsia="zh-CN"/>
        </w:rPr>
        <w:t>全文</w:t>
      </w:r>
      <w:r>
        <w:rPr>
          <w:rFonts w:hint="eastAsia"/>
          <w:b w:val="0"/>
          <w:bCs w:val="0"/>
          <w:color w:val="auto"/>
          <w:sz w:val="28"/>
          <w:szCs w:val="28"/>
          <w:highlight w:val="none"/>
          <w:shd w:val="clear" w:color="auto" w:fill="FFFFFF"/>
        </w:rPr>
        <w:t>以下简称“实际总用电量”）</w:t>
      </w:r>
      <w:r>
        <w:rPr>
          <w:rFonts w:hint="eastAsia" w:ascii="宋体" w:hAnsi="宋体" w:eastAsia="宋体" w:cs="宋体"/>
          <w:b w:val="0"/>
          <w:bCs w:val="0"/>
          <w:color w:val="auto"/>
          <w:sz w:val="28"/>
          <w:szCs w:val="28"/>
          <w:highlight w:val="none"/>
          <w:shd w:val="clear" w:color="auto" w:fill="FFFFFF"/>
        </w:rPr>
        <w:t>，以月度为结算周期，全电量按照</w:t>
      </w:r>
      <w:r>
        <w:rPr>
          <w:rFonts w:ascii="宋体" w:hAnsi="宋体" w:eastAsia="宋体" w:cs="宋体"/>
          <w:b w:val="0"/>
          <w:bCs w:val="0"/>
          <w:color w:val="auto"/>
          <w:sz w:val="28"/>
          <w:szCs w:val="28"/>
          <w:highlight w:val="none"/>
          <w:shd w:val="clear" w:color="auto" w:fill="FFFFFF"/>
        </w:rPr>
        <w:t>固定价格</w:t>
      </w:r>
      <w:r>
        <w:rPr>
          <w:rFonts w:hint="eastAsia" w:cs="宋体"/>
          <w:b w:val="0"/>
          <w:bCs w:val="0"/>
          <w:color w:val="auto"/>
          <w:sz w:val="28"/>
          <w:szCs w:val="28"/>
          <w:highlight w:val="none"/>
          <w:shd w:val="clear" w:color="auto" w:fill="FFFFFF"/>
          <w:lang w:val="en-US" w:eastAsia="zh-CN"/>
        </w:rPr>
        <w:t>电费</w:t>
      </w:r>
      <w:r>
        <w:rPr>
          <w:rFonts w:hint="eastAsia" w:ascii="宋体" w:hAnsi="宋体" w:eastAsia="宋体" w:cs="宋体"/>
          <w:b w:val="0"/>
          <w:bCs w:val="0"/>
          <w:color w:val="auto"/>
          <w:sz w:val="28"/>
          <w:szCs w:val="28"/>
          <w:highlight w:val="none"/>
          <w:shd w:val="clear" w:color="auto" w:fill="FFFFFF"/>
        </w:rPr>
        <w:t>方式结算</w:t>
      </w:r>
      <w:r>
        <w:rPr>
          <w:rFonts w:hint="eastAsia" w:cs="宋体"/>
          <w:b w:val="0"/>
          <w:bCs w:val="0"/>
          <w:color w:val="auto"/>
          <w:sz w:val="28"/>
          <w:szCs w:val="28"/>
          <w:highlight w:val="none"/>
          <w:shd w:val="clear" w:color="auto" w:fill="FFFFFF"/>
          <w:lang w:eastAsia="zh-CN"/>
        </w:rPr>
        <w:t>。</w:t>
      </w:r>
      <w:bookmarkEnd w:id="46"/>
    </w:p>
    <w:p>
      <w:pPr>
        <w:pStyle w:val="5"/>
        <w:keepNext w:val="0"/>
        <w:keepLines w:val="0"/>
        <w:pageBreakBefore w:val="0"/>
        <w:widowControl w:val="0"/>
        <w:kinsoku/>
        <w:wordWrap/>
        <w:overflowPunct/>
        <w:topLinePunct w:val="0"/>
        <w:autoSpaceDE/>
        <w:autoSpaceDN/>
        <w:bidi w:val="0"/>
        <w:adjustRightInd/>
        <w:snapToGrid/>
        <w:spacing w:before="0" w:after="0" w:line="600" w:lineRule="exact"/>
        <w:ind w:left="0" w:firstLine="560" w:firstLineChars="200"/>
        <w:jc w:val="both"/>
        <w:textAlignment w:val="auto"/>
        <w:outlineLvl w:val="9"/>
        <w:rPr>
          <w:rFonts w:hint="eastAsia" w:ascii="宋体" w:hAnsi="宋体" w:eastAsia="宋体" w:cs="宋体"/>
          <w:b w:val="0"/>
          <w:bCs w:val="0"/>
          <w:color w:val="auto"/>
          <w:sz w:val="28"/>
          <w:szCs w:val="28"/>
          <w:highlight w:val="none"/>
          <w:shd w:val="clear" w:color="auto" w:fill="FFFFFF"/>
          <w:lang w:eastAsia="zh-CN"/>
        </w:rPr>
      </w:pPr>
      <w:bookmarkStart w:id="47" w:name="_Toc9402"/>
      <w:r>
        <w:rPr>
          <w:rFonts w:hint="eastAsia" w:ascii="宋体" w:hAnsi="宋体" w:eastAsia="宋体" w:cs="宋体"/>
          <w:b w:val="0"/>
          <w:bCs w:val="0"/>
          <w:color w:val="auto"/>
          <w:sz w:val="28"/>
          <w:szCs w:val="28"/>
          <w:highlight w:val="none"/>
          <w:shd w:val="clear" w:color="auto" w:fill="FFFFFF"/>
        </w:rPr>
        <w:t>甲乙双方约定固定价格为</w:t>
      </w:r>
      <w:r>
        <w:rPr>
          <w:rFonts w:hint="eastAsia" w:ascii="宋体" w:hAnsi="宋体" w:eastAsia="宋体" w:cs="宋体"/>
          <w:color w:val="auto"/>
          <w:sz w:val="28"/>
          <w:szCs w:val="28"/>
          <w:highlight w:val="none"/>
          <w:u w:val="single"/>
          <w:shd w:val="clear" w:color="auto" w:fill="FFFFFF"/>
        </w:rPr>
        <w:t xml:space="preserve">    </w:t>
      </w:r>
      <w:r>
        <w:rPr>
          <w:rFonts w:hint="eastAsia" w:ascii="宋体" w:hAnsi="宋体" w:eastAsia="宋体" w:cs="宋体"/>
          <w:b w:val="0"/>
          <w:bCs w:val="0"/>
          <w:color w:val="auto"/>
          <w:sz w:val="28"/>
          <w:szCs w:val="28"/>
          <w:highlight w:val="none"/>
          <w:shd w:val="clear" w:color="auto" w:fill="FFFFFF"/>
        </w:rPr>
        <w:t>元/千瓦时</w:t>
      </w:r>
      <w:r>
        <w:rPr>
          <w:rFonts w:hint="eastAsia" w:ascii="宋体" w:hAnsi="宋体" w:eastAsia="宋体" w:cs="宋体"/>
          <w:b w:val="0"/>
          <w:bCs w:val="0"/>
          <w:color w:val="auto"/>
          <w:sz w:val="28"/>
          <w:szCs w:val="28"/>
          <w:highlight w:val="none"/>
          <w:shd w:val="clear" w:color="auto" w:fill="FFFFFF"/>
          <w:lang w:eastAsia="zh-CN"/>
        </w:rPr>
        <w:t>。</w:t>
      </w:r>
      <w:bookmarkEnd w:id="47"/>
    </w:p>
    <w:p>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cs="宋体"/>
          <w:b w:val="0"/>
          <w:bCs w:val="0"/>
          <w:color w:val="auto"/>
          <w:sz w:val="28"/>
          <w:szCs w:val="28"/>
          <w:highlight w:val="none"/>
          <w:shd w:val="clear" w:color="auto" w:fill="FFFFFF"/>
          <w:lang w:eastAsia="zh-CN"/>
        </w:rPr>
      </w:pPr>
      <w:r>
        <w:rPr>
          <w:rFonts w:hint="eastAsia" w:cs="宋体"/>
          <w:b w:val="0"/>
          <w:bCs w:val="0"/>
          <w:color w:val="auto"/>
          <w:sz w:val="28"/>
          <w:szCs w:val="28"/>
          <w:highlight w:val="none"/>
          <w:shd w:val="clear" w:color="auto" w:fill="FFFFFF"/>
          <w:lang w:val="en-US" w:eastAsia="zh-CN"/>
        </w:rPr>
        <w:t>零售交易</w:t>
      </w:r>
      <w:r>
        <w:rPr>
          <w:rFonts w:hint="eastAsia" w:ascii="宋体" w:hAnsi="宋体" w:eastAsia="宋体" w:cs="宋体"/>
          <w:b w:val="0"/>
          <w:bCs w:val="0"/>
          <w:color w:val="auto"/>
          <w:sz w:val="28"/>
          <w:szCs w:val="28"/>
          <w:highlight w:val="none"/>
          <w:shd w:val="clear" w:color="auto" w:fill="FFFFFF"/>
        </w:rPr>
        <w:t>电费</w:t>
      </w:r>
      <w:r>
        <w:rPr>
          <w:rFonts w:hint="eastAsia" w:cs="宋体"/>
          <w:b w:val="0"/>
          <w:bCs w:val="0"/>
          <w:color w:val="auto"/>
          <w:sz w:val="28"/>
          <w:szCs w:val="28"/>
          <w:highlight w:val="none"/>
          <w:shd w:val="clear" w:color="auto" w:fill="FFFFFF"/>
          <w:lang w:val="en-US" w:eastAsia="zh-CN"/>
        </w:rPr>
        <w:t>=</w:t>
      </w:r>
      <w:r>
        <w:rPr>
          <w:rFonts w:hint="eastAsia"/>
          <w:b w:val="0"/>
          <w:bCs w:val="0"/>
          <w:color w:val="auto"/>
          <w:sz w:val="28"/>
          <w:szCs w:val="28"/>
          <w:highlight w:val="none"/>
          <w:shd w:val="clear" w:color="auto" w:fill="FFFFFF"/>
        </w:rPr>
        <w:t>实际总用电量</w:t>
      </w:r>
      <w:r>
        <w:rPr>
          <w:rFonts w:hint="eastAsia" w:ascii="宋体" w:hAnsi="宋体" w:eastAsia="宋体" w:cs="宋体"/>
          <w:b w:val="0"/>
          <w:bCs w:val="0"/>
          <w:color w:val="auto"/>
          <w:sz w:val="28"/>
          <w:szCs w:val="28"/>
          <w:highlight w:val="none"/>
          <w:shd w:val="clear" w:color="auto" w:fill="FFFFFF"/>
        </w:rPr>
        <w:t>×合同约定的固定价格</w:t>
      </w:r>
      <w:r>
        <w:rPr>
          <w:rFonts w:hint="eastAsia" w:cs="宋体"/>
          <w:b w:val="0"/>
          <w:bCs w:val="0"/>
          <w:color w:val="auto"/>
          <w:sz w:val="28"/>
          <w:szCs w:val="28"/>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spacing w:line="600" w:lineRule="exact"/>
        <w:ind w:left="0" w:firstLine="641"/>
        <w:textAlignment w:val="auto"/>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4.5.2固定价格+市场联动套餐</w:t>
      </w:r>
    </w:p>
    <w:p>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甲方</w:t>
      </w:r>
      <w:r>
        <w:rPr>
          <w:rFonts w:hint="eastAsia"/>
          <w:b w:val="0"/>
          <w:bCs w:val="0"/>
          <w:color w:val="auto"/>
          <w:sz w:val="28"/>
          <w:szCs w:val="28"/>
          <w:highlight w:val="none"/>
          <w:shd w:val="clear" w:color="auto" w:fill="FFFFFF"/>
        </w:rPr>
        <w:t>实际总用电量</w:t>
      </w:r>
      <w:r>
        <w:rPr>
          <w:rFonts w:hint="eastAsia" w:ascii="宋体" w:hAnsi="宋体" w:eastAsia="宋体" w:cs="宋体"/>
          <w:color w:val="auto"/>
          <w:sz w:val="28"/>
          <w:szCs w:val="28"/>
          <w:highlight w:val="none"/>
          <w:shd w:val="clear" w:color="auto" w:fill="FFFFFF"/>
        </w:rPr>
        <w:t>，以月度为结算周期，全电量按照</w:t>
      </w:r>
      <w:r>
        <w:rPr>
          <w:rFonts w:ascii="宋体" w:hAnsi="宋体" w:eastAsia="宋体" w:cs="宋体"/>
          <w:color w:val="auto"/>
          <w:sz w:val="28"/>
          <w:szCs w:val="28"/>
          <w:highlight w:val="none"/>
          <w:shd w:val="clear" w:color="auto" w:fill="FFFFFF"/>
        </w:rPr>
        <w:t>固定价格</w:t>
      </w:r>
      <w:r>
        <w:rPr>
          <w:rFonts w:hint="eastAsia" w:ascii="宋体" w:hAnsi="宋体" w:eastAsia="宋体" w:cs="宋体"/>
          <w:color w:val="auto"/>
          <w:sz w:val="28"/>
          <w:szCs w:val="28"/>
          <w:highlight w:val="none"/>
          <w:shd w:val="clear" w:color="auto" w:fill="FFFFFF"/>
        </w:rPr>
        <w:t>+市场联动价格方式结算。</w:t>
      </w:r>
    </w:p>
    <w:p>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甲乙双方约定，固定价格为</w:t>
      </w:r>
      <w:r>
        <w:rPr>
          <w:rFonts w:hint="eastAsia" w:ascii="宋体" w:hAnsi="宋体" w:eastAsia="宋体" w:cs="宋体"/>
          <w:color w:val="auto"/>
          <w:sz w:val="28"/>
          <w:szCs w:val="28"/>
          <w:highlight w:val="none"/>
          <w:u w:val="single"/>
          <w:shd w:val="clear" w:color="auto" w:fill="FFFFFF"/>
        </w:rPr>
        <w:t xml:space="preserve">       </w:t>
      </w:r>
      <w:r>
        <w:rPr>
          <w:rFonts w:hint="eastAsia" w:ascii="宋体" w:hAnsi="宋体" w:eastAsia="宋体" w:cs="宋体"/>
          <w:color w:val="auto"/>
          <w:sz w:val="28"/>
          <w:szCs w:val="28"/>
          <w:highlight w:val="none"/>
          <w:shd w:val="clear" w:color="auto" w:fill="FFFFFF"/>
        </w:rPr>
        <w:t>元/千瓦时</w:t>
      </w: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lang w:val="en-US" w:eastAsia="zh-CN"/>
        </w:rPr>
        <w:t>用户实际用</w:t>
      </w:r>
      <w:r>
        <w:rPr>
          <w:rFonts w:hint="eastAsia" w:ascii="宋体" w:hAnsi="宋体" w:eastAsia="宋体" w:cs="宋体"/>
          <w:color w:val="auto"/>
          <w:sz w:val="28"/>
          <w:szCs w:val="28"/>
          <w:highlight w:val="none"/>
          <w:shd w:val="clear" w:color="auto" w:fill="FFFFFF"/>
        </w:rPr>
        <w:t>电量</w:t>
      </w:r>
      <w:r>
        <w:rPr>
          <w:rFonts w:hint="eastAsia" w:ascii="宋体" w:hAnsi="宋体" w:eastAsia="宋体" w:cs="宋体"/>
          <w:color w:val="auto"/>
          <w:sz w:val="28"/>
          <w:szCs w:val="28"/>
          <w:highlight w:val="none"/>
          <w:shd w:val="clear" w:color="auto" w:fill="FFFFFF"/>
          <w:lang w:val="en-US" w:eastAsia="zh-CN"/>
        </w:rPr>
        <w:t>的</w:t>
      </w:r>
      <w:r>
        <w:rPr>
          <w:rFonts w:hint="eastAsia" w:ascii="宋体" w:hAnsi="宋体" w:eastAsia="宋体" w:cs="宋体"/>
          <w:color w:val="auto"/>
          <w:sz w:val="28"/>
          <w:szCs w:val="28"/>
          <w:highlight w:val="none"/>
          <w:u w:val="single"/>
          <w:shd w:val="clear" w:color="auto" w:fill="FFFFFF"/>
        </w:rPr>
        <w:t xml:space="preserve">    </w:t>
      </w:r>
      <w:r>
        <w:rPr>
          <w:rFonts w:hint="eastAsia" w:ascii="宋体" w:hAnsi="宋体" w:eastAsia="宋体" w:cs="宋体"/>
          <w:color w:val="auto"/>
          <w:sz w:val="28"/>
          <w:szCs w:val="28"/>
          <w:highlight w:val="none"/>
          <w:shd w:val="clear" w:color="auto" w:fill="FFFFFF"/>
        </w:rPr>
        <w:t>％</w:t>
      </w:r>
      <w:r>
        <w:rPr>
          <w:rFonts w:hint="eastAsia" w:ascii="宋体" w:hAnsi="宋体" w:eastAsia="宋体" w:cs="宋体"/>
          <w:color w:val="auto"/>
          <w:sz w:val="28"/>
          <w:szCs w:val="28"/>
          <w:highlight w:val="none"/>
          <w:shd w:val="clear" w:color="auto" w:fill="FFFFFF"/>
          <w:lang w:val="en-US" w:eastAsia="zh-CN"/>
        </w:rPr>
        <w:t>用于</w:t>
      </w:r>
      <w:r>
        <w:rPr>
          <w:rFonts w:hint="eastAsia" w:ascii="宋体" w:hAnsi="宋体" w:eastAsia="宋体" w:cs="宋体"/>
          <w:color w:val="auto"/>
          <w:sz w:val="28"/>
          <w:szCs w:val="28"/>
          <w:highlight w:val="none"/>
          <w:shd w:val="clear" w:color="auto" w:fill="FFFFFF"/>
        </w:rPr>
        <w:t>固定价格</w:t>
      </w:r>
      <w:r>
        <w:rPr>
          <w:rFonts w:hint="eastAsia" w:ascii="宋体" w:hAnsi="宋体" w:eastAsia="宋体" w:cs="宋体"/>
          <w:color w:val="auto"/>
          <w:sz w:val="28"/>
          <w:szCs w:val="28"/>
          <w:highlight w:val="none"/>
          <w:shd w:val="clear" w:color="auto" w:fill="FFFFFF"/>
          <w:lang w:val="en-US" w:eastAsia="zh-CN"/>
        </w:rPr>
        <w:t>电费计算</w:t>
      </w:r>
      <w:r>
        <w:rPr>
          <w:rFonts w:hint="eastAsia" w:ascii="宋体" w:hAnsi="宋体" w:eastAsia="宋体" w:cs="宋体"/>
          <w:color w:val="auto"/>
          <w:sz w:val="28"/>
          <w:szCs w:val="28"/>
          <w:highlight w:val="none"/>
          <w:shd w:val="clear" w:color="auto" w:fill="FFFFFF"/>
        </w:rPr>
        <w:t>，</w:t>
      </w:r>
      <w:r>
        <w:rPr>
          <w:rFonts w:hint="eastAsia" w:ascii="宋体" w:hAnsi="宋体" w:eastAsia="宋体" w:cs="宋体"/>
          <w:color w:val="auto"/>
          <w:sz w:val="28"/>
          <w:szCs w:val="28"/>
          <w:highlight w:val="none"/>
          <w:shd w:val="clear" w:color="auto" w:fill="FFFFFF"/>
          <w:lang w:val="en-US" w:eastAsia="zh-CN"/>
        </w:rPr>
        <w:t>用户实际用</w:t>
      </w:r>
      <w:r>
        <w:rPr>
          <w:rFonts w:hint="eastAsia" w:ascii="宋体" w:hAnsi="宋体" w:eastAsia="宋体" w:cs="宋体"/>
          <w:color w:val="auto"/>
          <w:sz w:val="28"/>
          <w:szCs w:val="28"/>
          <w:highlight w:val="none"/>
          <w:shd w:val="clear" w:color="auto" w:fill="FFFFFF"/>
        </w:rPr>
        <w:t>电量的</w:t>
      </w:r>
      <w:r>
        <w:rPr>
          <w:rFonts w:hint="eastAsia" w:ascii="宋体" w:hAnsi="宋体" w:eastAsia="宋体" w:cs="宋体"/>
          <w:color w:val="auto"/>
          <w:sz w:val="28"/>
          <w:szCs w:val="28"/>
          <w:highlight w:val="none"/>
          <w:u w:val="single"/>
          <w:shd w:val="clear" w:color="auto" w:fill="FFFFFF"/>
        </w:rPr>
        <w:t xml:space="preserve">    </w:t>
      </w:r>
      <w:r>
        <w:rPr>
          <w:rFonts w:hint="eastAsia" w:ascii="宋体" w:hAnsi="宋体" w:eastAsia="宋体" w:cs="宋体"/>
          <w:color w:val="auto"/>
          <w:sz w:val="28"/>
          <w:szCs w:val="28"/>
          <w:highlight w:val="none"/>
          <w:shd w:val="clear" w:color="auto" w:fill="FFFFFF"/>
        </w:rPr>
        <w:t>％</w:t>
      </w:r>
      <w:r>
        <w:rPr>
          <w:rFonts w:hint="eastAsia" w:ascii="宋体" w:hAnsi="宋体" w:eastAsia="宋体" w:cs="宋体"/>
          <w:color w:val="auto"/>
          <w:sz w:val="28"/>
          <w:szCs w:val="28"/>
          <w:highlight w:val="none"/>
          <w:shd w:val="clear" w:color="auto" w:fill="FFFFFF"/>
          <w:lang w:val="en-US" w:eastAsia="zh-CN"/>
        </w:rPr>
        <w:t>用于</w:t>
      </w:r>
      <w:r>
        <w:rPr>
          <w:rFonts w:hint="eastAsia" w:ascii="宋体" w:hAnsi="宋体" w:eastAsia="宋体" w:cs="宋体"/>
          <w:color w:val="auto"/>
          <w:sz w:val="28"/>
          <w:szCs w:val="28"/>
          <w:highlight w:val="none"/>
          <w:shd w:val="clear" w:color="auto" w:fill="FFFFFF"/>
        </w:rPr>
        <w:t>市场联动价格</w:t>
      </w:r>
      <w:r>
        <w:rPr>
          <w:rFonts w:hint="eastAsia" w:ascii="宋体" w:hAnsi="宋体" w:eastAsia="宋体" w:cs="宋体"/>
          <w:color w:val="auto"/>
          <w:sz w:val="28"/>
          <w:szCs w:val="28"/>
          <w:highlight w:val="none"/>
          <w:shd w:val="clear" w:color="auto" w:fill="FFFFFF"/>
          <w:lang w:val="en-US" w:eastAsia="zh-CN"/>
        </w:rPr>
        <w:t>电费计算</w:t>
      </w:r>
      <w:r>
        <w:rPr>
          <w:rFonts w:hint="eastAsia" w:ascii="宋体" w:hAnsi="宋体" w:eastAsia="宋体" w:cs="宋体"/>
          <w:color w:val="auto"/>
          <w:sz w:val="28"/>
          <w:szCs w:val="28"/>
          <w:highlight w:val="none"/>
          <w:shd w:val="clear" w:color="auto" w:fill="FFFFFF"/>
        </w:rPr>
        <w:t>。电能量固定价格和市场联动价格</w:t>
      </w:r>
      <w:r>
        <w:rPr>
          <w:rFonts w:hint="eastAsia" w:ascii="宋体" w:hAnsi="宋体" w:eastAsia="宋体" w:cs="宋体"/>
          <w:color w:val="auto"/>
          <w:sz w:val="28"/>
          <w:szCs w:val="28"/>
          <w:highlight w:val="none"/>
          <w:shd w:val="clear" w:color="auto" w:fill="FFFFFF"/>
          <w:lang w:val="en-US" w:eastAsia="zh-CN"/>
        </w:rPr>
        <w:t>实际用</w:t>
      </w:r>
      <w:r>
        <w:rPr>
          <w:rFonts w:hint="eastAsia" w:ascii="宋体" w:hAnsi="宋体" w:eastAsia="宋体" w:cs="宋体"/>
          <w:color w:val="auto"/>
          <w:sz w:val="28"/>
          <w:szCs w:val="28"/>
          <w:highlight w:val="none"/>
          <w:shd w:val="clear" w:color="auto" w:fill="FFFFFF"/>
        </w:rPr>
        <w:t>电量占比之和等于100%。</w:t>
      </w:r>
    </w:p>
    <w:p>
      <w:pPr>
        <w:snapToGrid w:val="0"/>
        <w:spacing w:line="600" w:lineRule="exact"/>
        <w:ind w:firstLine="560" w:firstLineChars="200"/>
        <w:rPr>
          <w:rFonts w:hint="default"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零售交易电费=固定价格电费+市场联动电费</w:t>
      </w:r>
    </w:p>
    <w:p>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lang w:val="en-US" w:eastAsia="zh-CN"/>
        </w:rPr>
        <w:t>其中：</w:t>
      </w:r>
      <w:r>
        <w:rPr>
          <w:rFonts w:hint="eastAsia" w:ascii="宋体" w:hAnsi="宋体" w:eastAsia="宋体" w:cs="宋体"/>
          <w:color w:val="auto"/>
          <w:sz w:val="28"/>
          <w:szCs w:val="28"/>
          <w:highlight w:val="none"/>
          <w:shd w:val="clear" w:color="auto" w:fill="FFFFFF"/>
        </w:rPr>
        <w:t>固定价格电费=</w:t>
      </w:r>
      <w:r>
        <w:rPr>
          <w:rFonts w:hint="eastAsia"/>
          <w:b w:val="0"/>
          <w:bCs w:val="0"/>
          <w:color w:val="auto"/>
          <w:sz w:val="28"/>
          <w:szCs w:val="28"/>
          <w:highlight w:val="none"/>
          <w:shd w:val="clear" w:color="auto" w:fill="FFFFFF"/>
        </w:rPr>
        <w:t>实际总用电量</w:t>
      </w:r>
      <w:r>
        <w:rPr>
          <w:rFonts w:hint="eastAsia" w:ascii="宋体" w:hAnsi="宋体" w:eastAsia="宋体" w:cs="宋体"/>
          <w:color w:val="auto"/>
          <w:sz w:val="28"/>
          <w:szCs w:val="28"/>
          <w:highlight w:val="none"/>
          <w:shd w:val="clear" w:color="auto" w:fill="FFFFFF"/>
        </w:rPr>
        <w:t>×合同约定的电量比例×合同约定的固定价格。</w:t>
      </w:r>
    </w:p>
    <w:p>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市场联动电费=</w:t>
      </w:r>
      <w:r>
        <w:rPr>
          <w:rFonts w:hint="eastAsia"/>
          <w:b w:val="0"/>
          <w:bCs w:val="0"/>
          <w:color w:val="auto"/>
          <w:sz w:val="28"/>
          <w:szCs w:val="28"/>
          <w:highlight w:val="none"/>
          <w:shd w:val="clear" w:color="auto" w:fill="FFFFFF"/>
        </w:rPr>
        <w:t>实际总用电量</w:t>
      </w:r>
      <w:r>
        <w:rPr>
          <w:rFonts w:hint="eastAsia" w:ascii="宋体" w:hAnsi="宋体" w:eastAsia="宋体" w:cs="宋体"/>
          <w:color w:val="auto"/>
          <w:sz w:val="28"/>
          <w:szCs w:val="28"/>
          <w:highlight w:val="none"/>
          <w:shd w:val="clear" w:color="auto" w:fill="FFFFFF"/>
        </w:rPr>
        <w:t>×合同约定的电量比例×合同约定的市场联动价格</w:t>
      </w:r>
    </w:p>
    <w:p>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市场联动价格可选项为（</w:t>
      </w:r>
      <w:r>
        <w:rPr>
          <w:rFonts w:hint="eastAsia" w:ascii="宋体" w:hAnsi="宋体" w:eastAsia="宋体" w:cs="宋体"/>
          <w:color w:val="auto"/>
          <w:sz w:val="28"/>
          <w:szCs w:val="28"/>
          <w:highlight w:val="none"/>
          <w:shd w:val="clear" w:color="auto" w:fill="FFFFFF"/>
          <w:lang w:val="en-US" w:eastAsia="zh-CN"/>
        </w:rPr>
        <w:t>必选项，两种模式分别</w:t>
      </w:r>
      <w:r>
        <w:rPr>
          <w:rFonts w:hint="eastAsia" w:ascii="宋体" w:hAnsi="宋体" w:eastAsia="宋体" w:cs="宋体"/>
          <w:color w:val="auto"/>
          <w:sz w:val="28"/>
          <w:szCs w:val="28"/>
          <w:highlight w:val="none"/>
          <w:shd w:val="clear" w:color="auto" w:fill="FFFFFF"/>
        </w:rPr>
        <w:t>选择</w:t>
      </w:r>
      <w:r>
        <w:rPr>
          <w:rFonts w:hint="eastAsia" w:ascii="宋体" w:hAnsi="宋体" w:eastAsia="宋体" w:cs="宋体"/>
          <w:color w:val="auto"/>
          <w:sz w:val="28"/>
          <w:szCs w:val="28"/>
          <w:highlight w:val="none"/>
          <w:shd w:val="clear" w:color="auto" w:fill="FFFFFF"/>
          <w:lang w:val="en-US" w:eastAsia="zh-CN"/>
        </w:rPr>
        <w:t>唯一</w:t>
      </w:r>
      <w:r>
        <w:rPr>
          <w:rFonts w:hint="eastAsia" w:ascii="宋体" w:hAnsi="宋体" w:eastAsia="宋体" w:cs="宋体"/>
          <w:color w:val="auto"/>
          <w:sz w:val="28"/>
          <w:szCs w:val="28"/>
          <w:highlight w:val="none"/>
          <w:shd w:val="clear" w:color="auto" w:fill="FFFFFF"/>
        </w:rPr>
        <w:t>一个对应的联动电价）：</w:t>
      </w:r>
    </w:p>
    <w:p>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lang w:val="en-US" w:eastAsia="zh-CN"/>
        </w:rPr>
        <w:t>1</w:t>
      </w: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rPr>
        <w:t>非现货联动电价模式</w:t>
      </w: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lang w:val="en-US" w:eastAsia="zh-CN"/>
        </w:rPr>
        <w:t>包含短周期现货结算试运行</w:t>
      </w: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rPr>
        <w:t>：</w:t>
      </w:r>
    </w:p>
    <w:p>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rPr>
      </w:pPr>
      <w:r>
        <w:rPr>
          <w:rFonts w:ascii="Wingdings" w:hAnsi="Wingdings" w:eastAsia="宋体" w:cs="宋体"/>
          <w:color w:val="auto"/>
          <w:sz w:val="28"/>
          <w:szCs w:val="28"/>
          <w:highlight w:val="none"/>
          <w:shd w:val="clear" w:color="auto" w:fill="FFFFFF"/>
        </w:rPr>
        <w:sym w:font="Wingdings" w:char="F0A8"/>
      </w:r>
      <w:r>
        <w:rPr>
          <w:rFonts w:hint="eastAsia" w:ascii="宋体" w:hAnsi="宋体" w:eastAsia="宋体" w:cs="宋体"/>
          <w:color w:val="auto"/>
          <w:sz w:val="28"/>
          <w:szCs w:val="28"/>
          <w:highlight w:val="none"/>
          <w:shd w:val="clear" w:color="auto" w:fill="FFFFFF"/>
        </w:rPr>
        <w:t xml:space="preserve">①直接交易月度集中交易加权平均价； </w:t>
      </w:r>
    </w:p>
    <w:p>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rPr>
      </w:pPr>
      <w:r>
        <w:rPr>
          <w:rFonts w:ascii="Wingdings" w:hAnsi="Wingdings" w:eastAsia="宋体" w:cs="宋体"/>
          <w:color w:val="auto"/>
          <w:sz w:val="28"/>
          <w:szCs w:val="28"/>
          <w:highlight w:val="none"/>
          <w:shd w:val="clear" w:color="auto" w:fill="FFFFFF"/>
        </w:rPr>
        <w:sym w:font="Wingdings" w:char="F0A8"/>
      </w:r>
      <w:r>
        <w:rPr>
          <w:rFonts w:hint="eastAsia" w:ascii="宋体" w:hAnsi="宋体" w:eastAsia="宋体" w:cs="宋体"/>
          <w:color w:val="auto"/>
          <w:sz w:val="28"/>
          <w:szCs w:val="28"/>
          <w:highlight w:val="none"/>
          <w:shd w:val="clear" w:color="auto" w:fill="FFFFFF"/>
        </w:rPr>
        <w:t>②直接交易月度加权平均价。</w:t>
      </w:r>
    </w:p>
    <w:p>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lang w:val="en-US" w:eastAsia="zh-CN"/>
        </w:rPr>
        <w:t>2</w:t>
      </w: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rPr>
        <w:t>现货联动电价模式</w:t>
      </w: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lang w:val="en-US" w:eastAsia="zh-CN"/>
        </w:rPr>
        <w:t>即全月开展现货结算</w:t>
      </w: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rPr>
        <w:t>：</w:t>
      </w:r>
    </w:p>
    <w:p>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lang w:eastAsia="zh-CN"/>
        </w:rPr>
      </w:pPr>
      <w:r>
        <w:rPr>
          <w:rFonts w:ascii="Wingdings" w:hAnsi="Wingdings" w:eastAsia="宋体" w:cs="宋体"/>
          <w:color w:val="auto"/>
          <w:sz w:val="28"/>
          <w:szCs w:val="28"/>
          <w:highlight w:val="none"/>
          <w:shd w:val="clear" w:color="auto" w:fill="FFFFFF"/>
        </w:rPr>
        <w:sym w:font="Wingdings" w:char="F0A8"/>
      </w:r>
      <w:r>
        <w:rPr>
          <w:rFonts w:hint="eastAsia" w:ascii="宋体" w:hAnsi="宋体" w:eastAsia="宋体" w:cs="宋体"/>
          <w:color w:val="auto"/>
          <w:sz w:val="28"/>
          <w:szCs w:val="28"/>
          <w:highlight w:val="none"/>
          <w:shd w:val="clear" w:color="auto" w:fill="FFFFFF"/>
        </w:rPr>
        <w:t>①</w:t>
      </w:r>
      <w:r>
        <w:rPr>
          <w:rFonts w:hint="eastAsia" w:ascii="宋体" w:hAnsi="宋体" w:cs="宋体"/>
          <w:color w:val="auto"/>
          <w:sz w:val="28"/>
          <w:szCs w:val="28"/>
          <w:highlight w:val="none"/>
          <w:shd w:val="clear" w:color="auto" w:fill="FFFFFF"/>
          <w:lang w:val="en-US" w:eastAsia="zh-CN"/>
        </w:rPr>
        <w:t>实时</w:t>
      </w:r>
      <w:r>
        <w:rPr>
          <w:rFonts w:hint="eastAsia" w:ascii="宋体" w:hAnsi="宋体" w:eastAsia="宋体" w:cs="宋体"/>
          <w:color w:val="auto"/>
          <w:sz w:val="28"/>
          <w:szCs w:val="28"/>
          <w:highlight w:val="none"/>
          <w:shd w:val="clear" w:color="auto" w:fill="FFFFFF"/>
          <w:lang w:eastAsia="zh-CN"/>
        </w:rPr>
        <w:t>市场月度加权平均综合电价；</w:t>
      </w:r>
    </w:p>
    <w:p>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lang w:eastAsia="zh-CN"/>
        </w:rPr>
      </w:pPr>
      <w:r>
        <w:rPr>
          <w:rFonts w:ascii="Wingdings" w:hAnsi="Wingdings" w:eastAsia="宋体" w:cs="宋体"/>
          <w:color w:val="auto"/>
          <w:sz w:val="28"/>
          <w:szCs w:val="28"/>
          <w:highlight w:val="none"/>
          <w:shd w:val="clear" w:color="auto" w:fill="FFFFFF"/>
        </w:rPr>
        <w:sym w:font="Wingdings" w:char="F0A8"/>
      </w:r>
      <w:r>
        <w:rPr>
          <w:rFonts w:hint="eastAsia" w:ascii="宋体" w:hAnsi="宋体" w:eastAsia="宋体" w:cs="宋体"/>
          <w:color w:val="auto"/>
          <w:sz w:val="28"/>
          <w:szCs w:val="28"/>
          <w:highlight w:val="none"/>
          <w:shd w:val="clear" w:color="auto" w:fill="FFFFFF"/>
        </w:rPr>
        <w:t>②直接交易月度集中交易加权平均价</w:t>
      </w:r>
      <w:r>
        <w:rPr>
          <w:rFonts w:hint="eastAsia" w:ascii="宋体" w:hAnsi="宋体" w:eastAsia="宋体" w:cs="宋体"/>
          <w:color w:val="auto"/>
          <w:sz w:val="28"/>
          <w:szCs w:val="28"/>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rPr>
      </w:pPr>
      <w:r>
        <w:rPr>
          <w:rFonts w:ascii="Wingdings" w:hAnsi="Wingdings" w:eastAsia="宋体" w:cs="宋体"/>
          <w:color w:val="auto"/>
          <w:sz w:val="28"/>
          <w:szCs w:val="28"/>
          <w:highlight w:val="none"/>
          <w:shd w:val="clear" w:color="auto" w:fill="FFFFFF"/>
        </w:rPr>
        <w:sym w:font="Wingdings" w:char="F0A8"/>
      </w:r>
      <w:r>
        <w:rPr>
          <w:rFonts w:hint="eastAsia" w:ascii="宋体" w:hAnsi="宋体" w:eastAsia="宋体" w:cs="宋体"/>
          <w:color w:val="auto"/>
          <w:sz w:val="28"/>
          <w:szCs w:val="28"/>
          <w:highlight w:val="none"/>
          <w:shd w:val="clear" w:color="auto" w:fill="FFFFFF"/>
        </w:rPr>
        <w:t>③直接交易月度加权平均价。</w:t>
      </w:r>
    </w:p>
    <w:p>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default"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注：任一模式中选定“</w:t>
      </w:r>
      <w:r>
        <w:rPr>
          <w:rFonts w:hint="eastAsia" w:ascii="宋体" w:hAnsi="宋体" w:eastAsia="宋体" w:cs="宋体"/>
          <w:color w:val="auto"/>
          <w:sz w:val="28"/>
          <w:szCs w:val="28"/>
          <w:highlight w:val="none"/>
          <w:shd w:val="clear" w:color="auto" w:fill="FFFFFF"/>
        </w:rPr>
        <w:t>直接交易月度集中交易加权平均价</w:t>
      </w:r>
      <w:r>
        <w:rPr>
          <w:rFonts w:hint="eastAsia" w:ascii="宋体" w:hAnsi="宋体" w:eastAsia="宋体" w:cs="宋体"/>
          <w:color w:val="auto"/>
          <w:sz w:val="28"/>
          <w:szCs w:val="28"/>
          <w:highlight w:val="none"/>
          <w:shd w:val="clear" w:color="auto" w:fill="FFFFFF"/>
          <w:lang w:val="en-US" w:eastAsia="zh-CN"/>
        </w:rPr>
        <w:t>”作为市场联动价格的，若当月无该成交价格，则系统自动选择“</w:t>
      </w:r>
      <w:r>
        <w:rPr>
          <w:rFonts w:hint="default" w:ascii="宋体" w:hAnsi="宋体" w:eastAsia="宋体" w:cs="宋体"/>
          <w:color w:val="auto"/>
          <w:sz w:val="28"/>
          <w:szCs w:val="28"/>
          <w:highlight w:val="none"/>
          <w:shd w:val="clear" w:color="auto" w:fill="FFFFFF"/>
          <w:lang w:val="en-US" w:eastAsia="zh-CN"/>
        </w:rPr>
        <w:t>直接交易月度加权平均价</w:t>
      </w:r>
      <w:r>
        <w:rPr>
          <w:rFonts w:hint="eastAsia" w:ascii="宋体" w:hAnsi="宋体" w:eastAsia="宋体" w:cs="宋体"/>
          <w:color w:val="auto"/>
          <w:sz w:val="28"/>
          <w:szCs w:val="28"/>
          <w:highlight w:val="none"/>
          <w:shd w:val="clear" w:color="auto" w:fill="FFFFFF"/>
          <w:lang w:val="en-US" w:eastAsia="zh-CN"/>
        </w:rPr>
        <w:t>”为当月市场联动价格。</w:t>
      </w:r>
    </w:p>
    <w:p>
      <w:pPr>
        <w:keepNext w:val="0"/>
        <w:keepLines w:val="0"/>
        <w:pageBreakBefore w:val="0"/>
        <w:widowControl w:val="0"/>
        <w:kinsoku/>
        <w:wordWrap/>
        <w:overflowPunct/>
        <w:topLinePunct w:val="0"/>
        <w:autoSpaceDE/>
        <w:autoSpaceDN/>
        <w:bidi w:val="0"/>
        <w:adjustRightInd/>
        <w:spacing w:line="600" w:lineRule="exact"/>
        <w:ind w:left="0" w:firstLine="641"/>
        <w:textAlignment w:val="auto"/>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4.5.3比例分成套餐</w:t>
      </w:r>
    </w:p>
    <w:p>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ascii="宋体" w:hAnsi="宋体" w:eastAsia="宋体" w:cs="宋体"/>
          <w:color w:val="auto"/>
          <w:sz w:val="28"/>
          <w:szCs w:val="28"/>
          <w:highlight w:val="none"/>
          <w:shd w:val="clear" w:color="auto" w:fill="FFFFFF"/>
        </w:rPr>
      </w:pPr>
      <w:r>
        <w:rPr>
          <w:rFonts w:ascii="宋体" w:hAnsi="宋体" w:eastAsia="宋体" w:cs="宋体"/>
          <w:color w:val="auto"/>
          <w:sz w:val="28"/>
          <w:szCs w:val="28"/>
          <w:highlight w:val="none"/>
          <w:shd w:val="clear" w:color="auto" w:fill="FFFFFF"/>
        </w:rPr>
        <w:t>甲方</w:t>
      </w:r>
      <w:r>
        <w:rPr>
          <w:rFonts w:hint="eastAsia"/>
          <w:b w:val="0"/>
          <w:bCs w:val="0"/>
          <w:color w:val="auto"/>
          <w:sz w:val="28"/>
          <w:szCs w:val="28"/>
          <w:highlight w:val="none"/>
          <w:shd w:val="clear" w:color="auto" w:fill="FFFFFF"/>
        </w:rPr>
        <w:t>实际总用电量</w:t>
      </w:r>
      <w:r>
        <w:rPr>
          <w:rFonts w:ascii="宋体" w:hAnsi="宋体" w:eastAsia="宋体" w:cs="宋体"/>
          <w:color w:val="auto"/>
          <w:sz w:val="28"/>
          <w:szCs w:val="28"/>
          <w:highlight w:val="none"/>
          <w:shd w:val="clear" w:color="auto" w:fill="FFFFFF"/>
        </w:rPr>
        <w:t>，以月度为结算周期，全电量采用比例分成方式结算。</w:t>
      </w:r>
    </w:p>
    <w:p>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lang w:eastAsia="zh-CN"/>
        </w:rPr>
      </w:pPr>
      <w:r>
        <w:rPr>
          <w:rFonts w:ascii="宋体" w:hAnsi="宋体" w:eastAsia="宋体" w:cs="宋体"/>
          <w:color w:val="auto"/>
          <w:sz w:val="28"/>
          <w:szCs w:val="28"/>
          <w:highlight w:val="none"/>
          <w:shd w:val="clear" w:color="auto" w:fill="FFFFFF"/>
        </w:rPr>
        <w:t>甲乙双方约定，交易基准价为</w:t>
      </w:r>
      <w:r>
        <w:rPr>
          <w:rFonts w:ascii="宋体" w:hAnsi="宋体" w:eastAsia="宋体" w:cs="宋体"/>
          <w:color w:val="auto"/>
          <w:sz w:val="28"/>
          <w:szCs w:val="28"/>
          <w:highlight w:val="none"/>
          <w:u w:val="single"/>
          <w:shd w:val="clear" w:color="auto" w:fill="FFFFFF"/>
        </w:rPr>
        <w:t xml:space="preserve">    </w:t>
      </w:r>
      <w:r>
        <w:rPr>
          <w:rFonts w:ascii="宋体" w:hAnsi="宋体" w:eastAsia="宋体" w:cs="宋体"/>
          <w:color w:val="auto"/>
          <w:sz w:val="28"/>
          <w:szCs w:val="28"/>
          <w:highlight w:val="none"/>
          <w:shd w:val="clear" w:color="auto" w:fill="FFFFFF"/>
        </w:rPr>
        <w:t>元/千瓦时，</w:t>
      </w:r>
      <w:r>
        <w:rPr>
          <w:rFonts w:hint="eastAsia"/>
          <w:b w:val="0"/>
          <w:bCs w:val="0"/>
          <w:color w:val="auto"/>
          <w:sz w:val="28"/>
          <w:szCs w:val="28"/>
          <w:highlight w:val="none"/>
          <w:shd w:val="clear" w:color="auto" w:fill="FFFFFF"/>
        </w:rPr>
        <w:t>实际总用电量</w:t>
      </w:r>
      <w:r>
        <w:rPr>
          <w:rFonts w:ascii="宋体" w:hAnsi="宋体" w:eastAsia="宋体" w:cs="宋体"/>
          <w:color w:val="auto"/>
          <w:sz w:val="28"/>
          <w:szCs w:val="28"/>
          <w:highlight w:val="none"/>
          <w:shd w:val="clear" w:color="auto" w:fill="FFFFFF"/>
        </w:rPr>
        <w:t>参照市场联动价格进行比例分成，各时段交易基准价与市场联动价格差值的部分，</w:t>
      </w:r>
      <w:r>
        <w:rPr>
          <w:rFonts w:ascii="宋体" w:hAnsi="宋体" w:eastAsia="宋体" w:cs="宋体"/>
          <w:color w:val="auto"/>
          <w:sz w:val="28"/>
          <w:szCs w:val="28"/>
          <w:highlight w:val="none"/>
          <w:u w:val="single"/>
          <w:shd w:val="clear" w:color="auto" w:fill="FFFFFF"/>
        </w:rPr>
        <w:t xml:space="preserve">   </w:t>
      </w:r>
      <w:r>
        <w:rPr>
          <w:rFonts w:ascii="宋体" w:hAnsi="宋体" w:eastAsia="宋体" w:cs="宋体"/>
          <w:color w:val="auto"/>
          <w:sz w:val="28"/>
          <w:szCs w:val="28"/>
          <w:highlight w:val="none"/>
          <w:shd w:val="clear" w:color="auto" w:fill="FFFFFF"/>
        </w:rPr>
        <w:t xml:space="preserve"> %比例归甲方</w:t>
      </w:r>
      <w:r>
        <w:rPr>
          <w:rFonts w:hint="eastAsia" w:ascii="宋体" w:hAnsi="宋体" w:eastAsia="宋体" w:cs="宋体"/>
          <w:color w:val="auto"/>
          <w:sz w:val="28"/>
          <w:szCs w:val="28"/>
          <w:highlight w:val="none"/>
          <w:shd w:val="clear" w:color="auto" w:fill="FFFFFF"/>
        </w:rPr>
        <w:t>分享（分摊）</w:t>
      </w:r>
      <w:r>
        <w:rPr>
          <w:rFonts w:ascii="宋体" w:hAnsi="宋体" w:eastAsia="宋体" w:cs="宋体"/>
          <w:color w:val="auto"/>
          <w:sz w:val="28"/>
          <w:szCs w:val="28"/>
          <w:highlight w:val="none"/>
          <w:shd w:val="clear" w:color="auto" w:fill="FFFFFF"/>
        </w:rPr>
        <w:t>，剩余比例归乙方</w:t>
      </w:r>
      <w:r>
        <w:rPr>
          <w:rFonts w:hint="eastAsia" w:ascii="宋体" w:hAnsi="宋体" w:eastAsia="宋体" w:cs="宋体"/>
          <w:color w:val="auto"/>
          <w:sz w:val="28"/>
          <w:szCs w:val="28"/>
          <w:highlight w:val="none"/>
          <w:shd w:val="clear" w:color="auto" w:fill="FFFFFF"/>
        </w:rPr>
        <w:t>分享（分摊）</w:t>
      </w:r>
      <w:r>
        <w:rPr>
          <w:rFonts w:hint="eastAsia" w:ascii="宋体" w:hAnsi="宋体" w:eastAsia="宋体" w:cs="宋体"/>
          <w:color w:val="auto"/>
          <w:sz w:val="28"/>
          <w:szCs w:val="28"/>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lang w:val="en-US" w:eastAsia="zh-CN"/>
        </w:rPr>
        <w:t>零售交易</w:t>
      </w:r>
      <w:r>
        <w:rPr>
          <w:rFonts w:hint="eastAsia" w:ascii="宋体" w:hAnsi="宋体" w:eastAsia="宋体" w:cs="宋体"/>
          <w:color w:val="auto"/>
          <w:sz w:val="28"/>
          <w:szCs w:val="28"/>
          <w:highlight w:val="none"/>
          <w:shd w:val="clear" w:color="auto" w:fill="FFFFFF"/>
        </w:rPr>
        <w:t>电费=</w:t>
      </w:r>
      <w:r>
        <w:rPr>
          <w:rFonts w:hint="eastAsia"/>
          <w:b w:val="0"/>
          <w:bCs w:val="0"/>
          <w:color w:val="auto"/>
          <w:sz w:val="28"/>
          <w:szCs w:val="28"/>
          <w:highlight w:val="none"/>
          <w:shd w:val="clear" w:color="auto" w:fill="FFFFFF"/>
        </w:rPr>
        <w:t>实际总用电量</w:t>
      </w:r>
      <w:r>
        <w:rPr>
          <w:rFonts w:hint="eastAsia" w:ascii="宋体" w:hAnsi="宋体" w:eastAsia="宋体" w:cs="宋体"/>
          <w:color w:val="auto"/>
          <w:sz w:val="28"/>
          <w:szCs w:val="28"/>
          <w:highlight w:val="none"/>
          <w:shd w:val="clear" w:color="auto" w:fill="FFFFFF"/>
        </w:rPr>
        <w:t>×</w:t>
      </w:r>
      <w:r>
        <w:rPr>
          <w:rFonts w:hint="eastAsia" w:ascii="宋体" w:hAnsi="宋体" w:eastAsia="宋体" w:cs="宋体"/>
          <w:color w:val="auto"/>
          <w:sz w:val="28"/>
          <w:szCs w:val="28"/>
          <w:highlight w:val="none"/>
          <w:shd w:val="clear" w:color="auto" w:fill="FFFFFF"/>
          <w:lang w:val="en-US" w:eastAsia="zh-CN"/>
        </w:rPr>
        <w:t>零售交易</w:t>
      </w:r>
      <w:r>
        <w:rPr>
          <w:rFonts w:hint="eastAsia" w:ascii="宋体" w:hAnsi="宋体" w:eastAsia="宋体" w:cs="宋体"/>
          <w:color w:val="auto"/>
          <w:sz w:val="28"/>
          <w:szCs w:val="28"/>
          <w:highlight w:val="none"/>
          <w:shd w:val="clear" w:color="auto" w:fill="FFFFFF"/>
        </w:rPr>
        <w:t>电价。</w:t>
      </w:r>
    </w:p>
    <w:p>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lang w:eastAsia="zh-CN"/>
        </w:rPr>
      </w:pPr>
      <w:r>
        <w:rPr>
          <w:rFonts w:hint="eastAsia" w:ascii="宋体" w:hAnsi="宋体" w:eastAsia="宋体" w:cs="宋体"/>
          <w:color w:val="auto"/>
          <w:sz w:val="28"/>
          <w:szCs w:val="28"/>
          <w:highlight w:val="none"/>
          <w:shd w:val="clear" w:color="auto" w:fill="FFFFFF"/>
          <w:lang w:val="en-US" w:eastAsia="zh-CN"/>
        </w:rPr>
        <w:t>其中：零售交易</w:t>
      </w:r>
      <w:r>
        <w:rPr>
          <w:rFonts w:hint="eastAsia" w:ascii="宋体" w:hAnsi="宋体" w:eastAsia="宋体" w:cs="宋体"/>
          <w:color w:val="auto"/>
          <w:sz w:val="28"/>
          <w:szCs w:val="28"/>
          <w:highlight w:val="none"/>
          <w:shd w:val="clear" w:color="auto" w:fill="FFFFFF"/>
        </w:rPr>
        <w:t>电价=交易基准价+</w:t>
      </w:r>
      <w:r>
        <w:rPr>
          <w:rFonts w:hint="eastAsia" w:ascii="宋体" w:hAnsi="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rPr>
        <w:t>市场联动价格-交易基准价</w:t>
      </w:r>
      <w:r>
        <w:rPr>
          <w:rFonts w:hint="eastAsia" w:ascii="宋体" w:hAnsi="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rPr>
        <w:t>×甲方分成比例</w:t>
      </w:r>
      <w:r>
        <w:rPr>
          <w:rFonts w:hint="eastAsia" w:ascii="宋体" w:hAnsi="宋体" w:eastAsia="宋体" w:cs="宋体"/>
          <w:color w:val="auto"/>
          <w:sz w:val="28"/>
          <w:szCs w:val="28"/>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市场联动价格可选项为（</w:t>
      </w:r>
      <w:r>
        <w:rPr>
          <w:rFonts w:hint="eastAsia" w:ascii="宋体" w:hAnsi="宋体" w:eastAsia="宋体" w:cs="宋体"/>
          <w:color w:val="auto"/>
          <w:sz w:val="28"/>
          <w:szCs w:val="28"/>
          <w:highlight w:val="none"/>
          <w:shd w:val="clear" w:color="auto" w:fill="FFFFFF"/>
          <w:lang w:val="en-US" w:eastAsia="zh-CN"/>
        </w:rPr>
        <w:t>必选项，两种模式分别</w:t>
      </w:r>
      <w:r>
        <w:rPr>
          <w:rFonts w:hint="eastAsia" w:ascii="宋体" w:hAnsi="宋体" w:eastAsia="宋体" w:cs="宋体"/>
          <w:color w:val="auto"/>
          <w:sz w:val="28"/>
          <w:szCs w:val="28"/>
          <w:highlight w:val="none"/>
          <w:shd w:val="clear" w:color="auto" w:fill="FFFFFF"/>
        </w:rPr>
        <w:t>选择</w:t>
      </w:r>
      <w:r>
        <w:rPr>
          <w:rFonts w:hint="eastAsia" w:ascii="宋体" w:hAnsi="宋体" w:eastAsia="宋体" w:cs="宋体"/>
          <w:color w:val="auto"/>
          <w:sz w:val="28"/>
          <w:szCs w:val="28"/>
          <w:highlight w:val="none"/>
          <w:shd w:val="clear" w:color="auto" w:fill="FFFFFF"/>
          <w:lang w:val="en-US" w:eastAsia="zh-CN"/>
        </w:rPr>
        <w:t>唯一</w:t>
      </w:r>
      <w:r>
        <w:rPr>
          <w:rFonts w:hint="eastAsia" w:ascii="宋体" w:hAnsi="宋体" w:eastAsia="宋体" w:cs="宋体"/>
          <w:color w:val="auto"/>
          <w:sz w:val="28"/>
          <w:szCs w:val="28"/>
          <w:highlight w:val="none"/>
          <w:shd w:val="clear" w:color="auto" w:fill="FFFFFF"/>
        </w:rPr>
        <w:t>一个对应的联动电价）：</w:t>
      </w:r>
    </w:p>
    <w:p>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lang w:val="en-US" w:eastAsia="zh-CN"/>
        </w:rPr>
        <w:t>1</w:t>
      </w: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rPr>
        <w:t>非现货联动电价模式</w:t>
      </w: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lang w:val="en-US" w:eastAsia="zh-CN"/>
        </w:rPr>
        <w:t>包含短周期现货结算试运行</w:t>
      </w: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rPr>
        <w:t>：</w:t>
      </w:r>
    </w:p>
    <w:p>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rPr>
      </w:pPr>
      <w:r>
        <w:rPr>
          <w:rFonts w:ascii="Wingdings" w:hAnsi="Wingdings" w:eastAsia="宋体" w:cs="宋体"/>
          <w:color w:val="auto"/>
          <w:sz w:val="28"/>
          <w:szCs w:val="28"/>
          <w:highlight w:val="none"/>
          <w:shd w:val="clear" w:color="auto" w:fill="FFFFFF"/>
        </w:rPr>
        <w:sym w:font="Wingdings" w:char="F0A8"/>
      </w:r>
      <w:r>
        <w:rPr>
          <w:rFonts w:hint="eastAsia" w:ascii="宋体" w:hAnsi="宋体" w:eastAsia="宋体" w:cs="宋体"/>
          <w:color w:val="auto"/>
          <w:sz w:val="28"/>
          <w:szCs w:val="28"/>
          <w:highlight w:val="none"/>
          <w:shd w:val="clear" w:color="auto" w:fill="FFFFFF"/>
        </w:rPr>
        <w:t xml:space="preserve">①直接交易月度集中交易加权平均价； </w:t>
      </w:r>
    </w:p>
    <w:p>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rPr>
      </w:pPr>
      <w:r>
        <w:rPr>
          <w:rFonts w:ascii="Wingdings" w:hAnsi="Wingdings" w:eastAsia="宋体" w:cs="宋体"/>
          <w:color w:val="auto"/>
          <w:sz w:val="28"/>
          <w:szCs w:val="28"/>
          <w:highlight w:val="none"/>
          <w:shd w:val="clear" w:color="auto" w:fill="FFFFFF"/>
        </w:rPr>
        <w:sym w:font="Wingdings" w:char="F0A8"/>
      </w:r>
      <w:r>
        <w:rPr>
          <w:rFonts w:hint="eastAsia" w:ascii="宋体" w:hAnsi="宋体" w:eastAsia="宋体" w:cs="宋体"/>
          <w:color w:val="auto"/>
          <w:sz w:val="28"/>
          <w:szCs w:val="28"/>
          <w:highlight w:val="none"/>
          <w:shd w:val="clear" w:color="auto" w:fill="FFFFFF"/>
        </w:rPr>
        <w:t>②直接交易月度加权平均价。</w:t>
      </w:r>
    </w:p>
    <w:p>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lang w:val="en-US" w:eastAsia="zh-CN"/>
        </w:rPr>
        <w:t>2</w:t>
      </w: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rPr>
        <w:t>现货联动电价模式</w:t>
      </w: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lang w:val="en-US" w:eastAsia="zh-CN"/>
        </w:rPr>
        <w:t>即全月开展现货结算</w:t>
      </w: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rPr>
        <w:t>：</w:t>
      </w:r>
    </w:p>
    <w:p>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lang w:eastAsia="zh-CN"/>
        </w:rPr>
      </w:pPr>
      <w:r>
        <w:rPr>
          <w:rFonts w:ascii="Wingdings" w:hAnsi="Wingdings" w:eastAsia="宋体" w:cs="宋体"/>
          <w:color w:val="auto"/>
          <w:sz w:val="28"/>
          <w:szCs w:val="28"/>
          <w:highlight w:val="none"/>
          <w:shd w:val="clear" w:color="auto" w:fill="FFFFFF"/>
        </w:rPr>
        <w:sym w:font="Wingdings" w:char="F0A8"/>
      </w:r>
      <w:r>
        <w:rPr>
          <w:rFonts w:hint="eastAsia" w:ascii="宋体" w:hAnsi="宋体" w:eastAsia="宋体" w:cs="宋体"/>
          <w:color w:val="auto"/>
          <w:sz w:val="28"/>
          <w:szCs w:val="28"/>
          <w:highlight w:val="none"/>
          <w:shd w:val="clear" w:color="auto" w:fill="FFFFFF"/>
        </w:rPr>
        <w:t>①</w:t>
      </w:r>
      <w:r>
        <w:rPr>
          <w:rFonts w:hint="eastAsia" w:ascii="宋体" w:hAnsi="宋体" w:cs="宋体"/>
          <w:color w:val="auto"/>
          <w:sz w:val="28"/>
          <w:szCs w:val="28"/>
          <w:highlight w:val="none"/>
          <w:shd w:val="clear" w:color="auto" w:fill="FFFFFF"/>
          <w:lang w:val="en-US" w:eastAsia="zh-CN"/>
        </w:rPr>
        <w:t>实时</w:t>
      </w:r>
      <w:r>
        <w:rPr>
          <w:rFonts w:hint="eastAsia" w:ascii="宋体" w:hAnsi="宋体" w:eastAsia="宋体" w:cs="宋体"/>
          <w:color w:val="auto"/>
          <w:sz w:val="28"/>
          <w:szCs w:val="28"/>
          <w:highlight w:val="none"/>
          <w:shd w:val="clear" w:color="auto" w:fill="FFFFFF"/>
          <w:lang w:eastAsia="zh-CN"/>
        </w:rPr>
        <w:t>市场月度加权平均综合电价；</w:t>
      </w:r>
    </w:p>
    <w:p>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lang w:eastAsia="zh-CN"/>
        </w:rPr>
      </w:pPr>
      <w:r>
        <w:rPr>
          <w:rFonts w:ascii="Wingdings" w:hAnsi="Wingdings" w:eastAsia="宋体" w:cs="宋体"/>
          <w:color w:val="auto"/>
          <w:sz w:val="28"/>
          <w:szCs w:val="28"/>
          <w:highlight w:val="none"/>
          <w:shd w:val="clear" w:color="auto" w:fill="FFFFFF"/>
        </w:rPr>
        <w:sym w:font="Wingdings" w:char="F0A8"/>
      </w:r>
      <w:r>
        <w:rPr>
          <w:rFonts w:hint="eastAsia" w:ascii="宋体" w:hAnsi="宋体" w:eastAsia="宋体" w:cs="宋体"/>
          <w:color w:val="auto"/>
          <w:sz w:val="28"/>
          <w:szCs w:val="28"/>
          <w:highlight w:val="none"/>
          <w:shd w:val="clear" w:color="auto" w:fill="FFFFFF"/>
        </w:rPr>
        <w:t>②直接交易月度集中交易加权平均价</w:t>
      </w:r>
      <w:r>
        <w:rPr>
          <w:rFonts w:hint="eastAsia" w:ascii="宋体" w:hAnsi="宋体" w:eastAsia="宋体" w:cs="宋体"/>
          <w:color w:val="auto"/>
          <w:sz w:val="28"/>
          <w:szCs w:val="28"/>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rPr>
      </w:pPr>
      <w:r>
        <w:rPr>
          <w:rFonts w:ascii="Wingdings" w:hAnsi="Wingdings" w:eastAsia="宋体" w:cs="宋体"/>
          <w:color w:val="auto"/>
          <w:sz w:val="28"/>
          <w:szCs w:val="28"/>
          <w:highlight w:val="none"/>
          <w:shd w:val="clear" w:color="auto" w:fill="FFFFFF"/>
        </w:rPr>
        <w:sym w:font="Wingdings" w:char="F0A8"/>
      </w:r>
      <w:r>
        <w:rPr>
          <w:rFonts w:hint="eastAsia" w:ascii="宋体" w:hAnsi="宋体" w:eastAsia="宋体" w:cs="宋体"/>
          <w:color w:val="auto"/>
          <w:sz w:val="28"/>
          <w:szCs w:val="28"/>
          <w:highlight w:val="none"/>
          <w:shd w:val="clear" w:color="auto" w:fill="FFFFFF"/>
        </w:rPr>
        <w:t>③直接交易月度加权平均价。</w:t>
      </w:r>
    </w:p>
    <w:p>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default"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注：任一模式中选定“</w:t>
      </w:r>
      <w:r>
        <w:rPr>
          <w:rFonts w:hint="eastAsia" w:ascii="宋体" w:hAnsi="宋体" w:eastAsia="宋体" w:cs="宋体"/>
          <w:color w:val="auto"/>
          <w:sz w:val="28"/>
          <w:szCs w:val="28"/>
          <w:highlight w:val="none"/>
          <w:shd w:val="clear" w:color="auto" w:fill="FFFFFF"/>
        </w:rPr>
        <w:t>直接交易月度集中交易加权平均价</w:t>
      </w:r>
      <w:r>
        <w:rPr>
          <w:rFonts w:hint="eastAsia" w:ascii="宋体" w:hAnsi="宋体" w:eastAsia="宋体" w:cs="宋体"/>
          <w:color w:val="auto"/>
          <w:sz w:val="28"/>
          <w:szCs w:val="28"/>
          <w:highlight w:val="none"/>
          <w:shd w:val="clear" w:color="auto" w:fill="FFFFFF"/>
          <w:lang w:val="en-US" w:eastAsia="zh-CN"/>
        </w:rPr>
        <w:t>”作为市场联动价格的，若当月无该成交价格，则系统自动选择“</w:t>
      </w:r>
      <w:r>
        <w:rPr>
          <w:rFonts w:hint="default" w:ascii="宋体" w:hAnsi="宋体" w:eastAsia="宋体" w:cs="宋体"/>
          <w:color w:val="auto"/>
          <w:sz w:val="28"/>
          <w:szCs w:val="28"/>
          <w:highlight w:val="none"/>
          <w:shd w:val="clear" w:color="auto" w:fill="FFFFFF"/>
          <w:lang w:val="en-US" w:eastAsia="zh-CN"/>
        </w:rPr>
        <w:t>直接交易月度加权平均价</w:t>
      </w:r>
      <w:r>
        <w:rPr>
          <w:rFonts w:hint="eastAsia" w:ascii="宋体" w:hAnsi="宋体" w:eastAsia="宋体" w:cs="宋体"/>
          <w:color w:val="auto"/>
          <w:sz w:val="28"/>
          <w:szCs w:val="28"/>
          <w:highlight w:val="none"/>
          <w:shd w:val="clear" w:color="auto" w:fill="FFFFFF"/>
          <w:lang w:val="en-US" w:eastAsia="zh-CN"/>
        </w:rPr>
        <w:t>”为当月市场联动价格。</w:t>
      </w:r>
    </w:p>
    <w:p>
      <w:pPr>
        <w:keepNext w:val="0"/>
        <w:keepLines w:val="0"/>
        <w:pageBreakBefore w:val="0"/>
        <w:widowControl w:val="0"/>
        <w:kinsoku/>
        <w:wordWrap/>
        <w:overflowPunct/>
        <w:topLinePunct w:val="0"/>
        <w:autoSpaceDE/>
        <w:autoSpaceDN/>
        <w:bidi w:val="0"/>
        <w:adjustRightInd/>
        <w:spacing w:line="600" w:lineRule="exact"/>
        <w:ind w:left="0" w:firstLine="641"/>
        <w:textAlignment w:val="auto"/>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4.5.4固定价格+服务费套餐</w:t>
      </w:r>
    </w:p>
    <w:p>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指在</w:t>
      </w:r>
      <w:r>
        <w:rPr>
          <w:rFonts w:hint="eastAsia" w:ascii="宋体" w:hAnsi="宋体" w:eastAsia="宋体" w:cs="宋体"/>
          <w:color w:val="auto"/>
          <w:sz w:val="28"/>
          <w:szCs w:val="28"/>
          <w:highlight w:val="none"/>
          <w:shd w:val="clear" w:color="auto" w:fill="FFFFFF"/>
          <w:lang w:val="en-US" w:eastAsia="zh-CN"/>
        </w:rPr>
        <w:t>甲方</w:t>
      </w:r>
      <w:r>
        <w:rPr>
          <w:rFonts w:hint="eastAsia"/>
          <w:b w:val="0"/>
          <w:bCs w:val="0"/>
          <w:color w:val="auto"/>
          <w:sz w:val="28"/>
          <w:szCs w:val="28"/>
          <w:highlight w:val="none"/>
          <w:shd w:val="clear" w:color="auto" w:fill="FFFFFF"/>
        </w:rPr>
        <w:t>实际总用电量</w:t>
      </w:r>
      <w:r>
        <w:rPr>
          <w:rFonts w:hint="eastAsia" w:ascii="宋体" w:hAnsi="宋体" w:eastAsia="宋体" w:cs="宋体"/>
          <w:color w:val="auto"/>
          <w:sz w:val="28"/>
          <w:szCs w:val="28"/>
          <w:highlight w:val="none"/>
          <w:shd w:val="clear" w:color="auto" w:fill="FFFFFF"/>
        </w:rPr>
        <w:t>对应的价格计算的</w:t>
      </w:r>
      <w:r>
        <w:rPr>
          <w:rFonts w:hint="eastAsia" w:ascii="宋体" w:hAnsi="宋体" w:eastAsia="宋体" w:cs="宋体"/>
          <w:color w:val="auto"/>
          <w:sz w:val="28"/>
          <w:szCs w:val="28"/>
          <w:highlight w:val="none"/>
          <w:lang w:val="en-US" w:eastAsia="zh-CN"/>
        </w:rPr>
        <w:t>零售交易</w:t>
      </w:r>
      <w:r>
        <w:rPr>
          <w:rFonts w:hint="eastAsia" w:ascii="宋体" w:hAnsi="宋体" w:eastAsia="宋体" w:cs="宋体"/>
          <w:color w:val="auto"/>
          <w:sz w:val="28"/>
          <w:szCs w:val="28"/>
          <w:highlight w:val="none"/>
        </w:rPr>
        <w:t>电费结算基础上，额外加收代理交易服务费用的模式</w:t>
      </w:r>
      <w:r>
        <w:rPr>
          <w:rFonts w:hint="eastAsia" w:ascii="宋体" w:hAnsi="宋体" w:eastAsia="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lang w:eastAsia="zh-CN"/>
        </w:rPr>
      </w:pPr>
      <w:r>
        <w:rPr>
          <w:rFonts w:hint="eastAsia" w:ascii="宋体" w:hAnsi="宋体" w:eastAsia="宋体" w:cs="宋体"/>
          <w:color w:val="auto"/>
          <w:sz w:val="28"/>
          <w:szCs w:val="28"/>
          <w:highlight w:val="none"/>
          <w:shd w:val="clear" w:color="auto" w:fill="FFFFFF"/>
        </w:rPr>
        <w:t>（1）</w:t>
      </w:r>
      <w:bookmarkStart w:id="48" w:name="_Toc18576"/>
      <w:r>
        <w:rPr>
          <w:rFonts w:hint="eastAsia" w:ascii="宋体" w:hAnsi="宋体" w:eastAsia="宋体" w:cs="宋体"/>
          <w:color w:val="auto"/>
          <w:sz w:val="28"/>
          <w:szCs w:val="28"/>
          <w:highlight w:val="none"/>
          <w:shd w:val="clear" w:color="auto" w:fill="FFFFFF"/>
        </w:rPr>
        <w:t>甲乙双方约定固定价格为</w:t>
      </w:r>
      <w:r>
        <w:rPr>
          <w:rFonts w:ascii="宋体" w:hAnsi="宋体" w:eastAsia="宋体" w:cs="宋体"/>
          <w:color w:val="auto"/>
          <w:sz w:val="28"/>
          <w:szCs w:val="28"/>
          <w:highlight w:val="none"/>
          <w:u w:val="single"/>
          <w:shd w:val="clear" w:color="auto" w:fill="FFFFFF"/>
        </w:rPr>
        <w:t xml:space="preserve">    </w:t>
      </w:r>
      <w:r>
        <w:rPr>
          <w:rFonts w:hint="eastAsia" w:ascii="宋体" w:hAnsi="宋体" w:eastAsia="宋体" w:cs="宋体"/>
          <w:color w:val="auto"/>
          <w:sz w:val="28"/>
          <w:szCs w:val="28"/>
          <w:highlight w:val="none"/>
          <w:shd w:val="clear" w:color="auto" w:fill="FFFFFF"/>
        </w:rPr>
        <w:t>元/千瓦时</w:t>
      </w:r>
      <w:r>
        <w:rPr>
          <w:rFonts w:hint="eastAsia" w:ascii="宋体" w:hAnsi="宋体" w:eastAsia="宋体" w:cs="宋体"/>
          <w:color w:val="auto"/>
          <w:sz w:val="28"/>
          <w:szCs w:val="28"/>
          <w:highlight w:val="none"/>
          <w:shd w:val="clear" w:color="auto" w:fill="FFFFFF"/>
          <w:lang w:eastAsia="zh-CN"/>
        </w:rPr>
        <w:t>。</w:t>
      </w:r>
      <w:bookmarkEnd w:id="48"/>
    </w:p>
    <w:p>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lang w:eastAsia="zh-CN"/>
        </w:rPr>
      </w:pPr>
      <w:r>
        <w:rPr>
          <w:rFonts w:hint="eastAsia" w:ascii="宋体" w:hAnsi="宋体" w:eastAsia="宋体" w:cs="宋体"/>
          <w:color w:val="auto"/>
          <w:sz w:val="28"/>
          <w:szCs w:val="28"/>
          <w:highlight w:val="none"/>
          <w:shd w:val="clear" w:color="auto" w:fill="FFFFFF"/>
          <w:lang w:val="en-US" w:eastAsia="zh-CN"/>
        </w:rPr>
        <w:t>零售交易</w:t>
      </w:r>
      <w:r>
        <w:rPr>
          <w:rFonts w:hint="eastAsia" w:ascii="宋体" w:hAnsi="宋体" w:eastAsia="宋体" w:cs="宋体"/>
          <w:color w:val="auto"/>
          <w:sz w:val="28"/>
          <w:szCs w:val="28"/>
          <w:highlight w:val="none"/>
          <w:shd w:val="clear" w:color="auto" w:fill="FFFFFF"/>
        </w:rPr>
        <w:t>电费</w:t>
      </w:r>
      <w:r>
        <w:rPr>
          <w:rFonts w:hint="eastAsia" w:ascii="宋体" w:hAnsi="宋体" w:eastAsia="宋体" w:cs="宋体"/>
          <w:color w:val="auto"/>
          <w:sz w:val="28"/>
          <w:szCs w:val="28"/>
          <w:highlight w:val="none"/>
          <w:shd w:val="clear" w:color="auto" w:fill="FFFFFF"/>
          <w:lang w:val="en-US" w:eastAsia="zh-CN"/>
        </w:rPr>
        <w:t>=</w:t>
      </w:r>
      <w:r>
        <w:rPr>
          <w:rFonts w:hint="eastAsia"/>
          <w:b w:val="0"/>
          <w:bCs w:val="0"/>
          <w:color w:val="auto"/>
          <w:sz w:val="28"/>
          <w:szCs w:val="28"/>
          <w:highlight w:val="none"/>
          <w:shd w:val="clear" w:color="auto" w:fill="FFFFFF"/>
        </w:rPr>
        <w:t>实际总用电量</w:t>
      </w:r>
      <w:r>
        <w:rPr>
          <w:rFonts w:hint="eastAsia" w:ascii="宋体" w:hAnsi="宋体" w:eastAsia="宋体" w:cs="宋体"/>
          <w:color w:val="auto"/>
          <w:sz w:val="28"/>
          <w:szCs w:val="28"/>
          <w:highlight w:val="none"/>
          <w:shd w:val="clear" w:color="auto" w:fill="FFFFFF"/>
        </w:rPr>
        <w:t>×合同约定的固定</w:t>
      </w:r>
      <w:r>
        <w:rPr>
          <w:rFonts w:hint="eastAsia" w:ascii="宋体" w:hAnsi="宋体" w:eastAsia="宋体" w:cs="宋体"/>
          <w:color w:val="auto"/>
          <w:sz w:val="28"/>
          <w:szCs w:val="28"/>
          <w:highlight w:val="none"/>
          <w:shd w:val="clear" w:color="auto" w:fill="FFFFFF"/>
          <w:lang w:val="en-US" w:eastAsia="zh-CN"/>
        </w:rPr>
        <w:t>价格</w:t>
      </w:r>
      <w:r>
        <w:rPr>
          <w:rFonts w:hint="eastAsia" w:ascii="宋体" w:hAnsi="宋体" w:eastAsia="宋体" w:cs="宋体"/>
          <w:color w:val="auto"/>
          <w:sz w:val="28"/>
          <w:szCs w:val="28"/>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（2）服务费价格：双方约定按月收取度电服务费为</w:t>
      </w:r>
      <w:r>
        <w:rPr>
          <w:rFonts w:ascii="宋体" w:hAnsi="宋体" w:eastAsia="宋体" w:cs="宋体"/>
          <w:color w:val="auto"/>
          <w:sz w:val="28"/>
          <w:szCs w:val="28"/>
          <w:highlight w:val="none"/>
          <w:u w:val="single"/>
          <w:shd w:val="clear" w:color="auto" w:fill="FFFFFF"/>
        </w:rPr>
        <w:t xml:space="preserve">    </w:t>
      </w:r>
      <w:r>
        <w:rPr>
          <w:rFonts w:hint="eastAsia" w:ascii="宋体" w:hAnsi="宋体" w:eastAsia="宋体" w:cs="宋体"/>
          <w:color w:val="auto"/>
          <w:sz w:val="28"/>
          <w:szCs w:val="28"/>
          <w:highlight w:val="none"/>
          <w:shd w:val="clear" w:color="auto" w:fill="FFFFFF"/>
        </w:rPr>
        <w:t>元/千瓦时</w:t>
      </w:r>
      <w:r>
        <w:rPr>
          <w:rFonts w:hint="eastAsia" w:ascii="宋体" w:hAnsi="宋体" w:eastAsia="宋体" w:cs="宋体"/>
          <w:color w:val="auto"/>
          <w:sz w:val="28"/>
          <w:szCs w:val="28"/>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服务费</w:t>
      </w:r>
      <w:r>
        <w:rPr>
          <w:rFonts w:hint="eastAsia" w:ascii="宋体" w:hAnsi="宋体" w:eastAsia="宋体" w:cs="宋体"/>
          <w:color w:val="auto"/>
          <w:sz w:val="28"/>
          <w:szCs w:val="28"/>
          <w:highlight w:val="none"/>
          <w:shd w:val="clear" w:color="auto" w:fill="FFFFFF"/>
          <w:lang w:val="en-US" w:eastAsia="zh-CN"/>
        </w:rPr>
        <w:t>=</w:t>
      </w:r>
      <w:r>
        <w:rPr>
          <w:rFonts w:hint="eastAsia"/>
          <w:b w:val="0"/>
          <w:bCs w:val="0"/>
          <w:color w:val="auto"/>
          <w:sz w:val="28"/>
          <w:szCs w:val="28"/>
          <w:highlight w:val="none"/>
          <w:shd w:val="clear" w:color="auto" w:fill="FFFFFF"/>
        </w:rPr>
        <w:t>实际总用电量</w:t>
      </w:r>
      <w:r>
        <w:rPr>
          <w:rFonts w:hint="eastAsia" w:ascii="宋体" w:hAnsi="宋体" w:eastAsia="宋体" w:cs="宋体"/>
          <w:color w:val="auto"/>
          <w:sz w:val="28"/>
          <w:szCs w:val="28"/>
          <w:highlight w:val="none"/>
          <w:shd w:val="clear" w:color="auto" w:fill="FFFFFF"/>
        </w:rPr>
        <w:t>×服务费</w:t>
      </w:r>
      <w:r>
        <w:rPr>
          <w:rFonts w:hint="eastAsia" w:ascii="宋体" w:hAnsi="宋体" w:eastAsia="宋体" w:cs="宋体"/>
          <w:color w:val="auto"/>
          <w:sz w:val="28"/>
          <w:szCs w:val="28"/>
          <w:highlight w:val="none"/>
          <w:shd w:val="clear" w:color="auto" w:fill="FFFFFF"/>
          <w:lang w:val="en-US" w:eastAsia="zh-CN"/>
        </w:rPr>
        <w:t>价格</w:t>
      </w:r>
      <w:r>
        <w:rPr>
          <w:rFonts w:hint="eastAsia" w:ascii="宋体" w:hAnsi="宋体" w:eastAsia="宋体" w:cs="宋体"/>
          <w:color w:val="auto"/>
          <w:sz w:val="28"/>
          <w:szCs w:val="28"/>
          <w:highlight w:val="none"/>
          <w:shd w:val="clear" w:color="auto" w:fill="FFFFFF"/>
        </w:rPr>
        <w:t>。</w:t>
      </w:r>
    </w:p>
    <w:p>
      <w:pPr>
        <w:spacing w:line="600" w:lineRule="exact"/>
        <w:ind w:left="0" w:firstLine="641"/>
        <w:rPr>
          <w:rFonts w:hint="eastAsia" w:ascii="宋体" w:hAnsi="宋体"/>
          <w:color w:val="auto"/>
          <w:sz w:val="28"/>
          <w:szCs w:val="28"/>
          <w:highlight w:val="none"/>
          <w:lang w:val="en-US"/>
        </w:rPr>
      </w:pPr>
      <w:r>
        <w:rPr>
          <w:rFonts w:hint="eastAsia" w:ascii="宋体" w:hAnsi="宋体"/>
          <w:color w:val="auto"/>
          <w:sz w:val="28"/>
          <w:szCs w:val="28"/>
          <w:highlight w:val="none"/>
          <w:lang w:val="en-US" w:eastAsia="zh-CN"/>
        </w:rPr>
        <w:t>4.6</w:t>
      </w:r>
      <w:r>
        <w:rPr>
          <w:rFonts w:hint="eastAsia" w:ascii="宋体" w:hAnsi="宋体"/>
          <w:color w:val="auto"/>
          <w:sz w:val="28"/>
          <w:szCs w:val="28"/>
          <w:highlight w:val="none"/>
        </w:rPr>
        <w:t>绿证价格费用</w:t>
      </w:r>
    </w:p>
    <w:p>
      <w:pPr>
        <w:snapToGrid w:val="0"/>
        <w:spacing w:line="600" w:lineRule="exact"/>
        <w:ind w:left="0" w:firstLine="560" w:firstLineChars="200"/>
        <w:rPr>
          <w:rFonts w:hint="default" w:ascii="宋体" w:hAnsi="宋体" w:eastAsia="宋体" w:cs="宋体"/>
          <w:color w:val="auto"/>
          <w:sz w:val="28"/>
          <w:szCs w:val="28"/>
          <w:highlight w:val="none"/>
          <w:u w:val="none"/>
          <w:shd w:val="clear" w:color="auto" w:fill="FFFFFF"/>
          <w:lang w:val="en-US"/>
        </w:rPr>
      </w:pPr>
      <w:r>
        <w:rPr>
          <w:rFonts w:hint="default" w:ascii="宋体" w:hAnsi="宋体" w:eastAsia="宋体" w:cs="宋体"/>
          <w:color w:val="auto"/>
          <w:sz w:val="28"/>
          <w:szCs w:val="28"/>
          <w:highlight w:val="none"/>
          <w:shd w:val="clear" w:color="auto" w:fill="FFFFFF"/>
          <w:lang w:val="en-US"/>
        </w:rPr>
        <w:t>双方一致同意按</w:t>
      </w:r>
      <w:r>
        <w:rPr>
          <w:rFonts w:hint="default" w:ascii="宋体" w:hAnsi="宋体" w:eastAsia="宋体" w:cs="宋体"/>
          <w:color w:val="auto"/>
          <w:sz w:val="28"/>
          <w:szCs w:val="28"/>
          <w:highlight w:val="none"/>
          <w:u w:val="single"/>
          <w:shd w:val="clear" w:color="auto" w:fill="FFFFFF"/>
          <w:lang w:val="en-US"/>
        </w:rPr>
        <w:t xml:space="preserve">         </w:t>
      </w:r>
      <w:r>
        <w:rPr>
          <w:rFonts w:hint="eastAsia" w:ascii="宋体" w:hAnsi="宋体" w:eastAsia="宋体" w:cs="宋体"/>
          <w:color w:val="auto"/>
          <w:sz w:val="28"/>
          <w:szCs w:val="28"/>
          <w:highlight w:val="none"/>
          <w:u w:val="none"/>
          <w:shd w:val="clear" w:color="auto" w:fill="FFFFFF"/>
          <w:lang w:val="en-US" w:eastAsia="zh-CN"/>
        </w:rPr>
        <w:t>%，作为合同</w:t>
      </w:r>
      <w:r>
        <w:rPr>
          <w:rFonts w:hint="eastAsia" w:ascii="宋体" w:hAnsi="宋体" w:eastAsia="宋体" w:cs="宋体"/>
          <w:color w:val="auto"/>
          <w:sz w:val="28"/>
          <w:szCs w:val="28"/>
          <w:highlight w:val="none"/>
          <w:u w:val="none"/>
          <w:shd w:val="clear" w:color="auto" w:fill="FFFFFF"/>
        </w:rPr>
        <w:t>分月计划电量中的绿色电力交易电量比例</w:t>
      </w:r>
      <w:r>
        <w:rPr>
          <w:rFonts w:hint="eastAsia" w:ascii="宋体" w:hAnsi="宋体" w:eastAsia="宋体" w:cs="宋体"/>
          <w:color w:val="auto"/>
          <w:sz w:val="28"/>
          <w:szCs w:val="28"/>
          <w:highlight w:val="none"/>
          <w:u w:val="none"/>
          <w:shd w:val="clear" w:color="auto" w:fill="FFFFFF"/>
          <w:lang w:eastAsia="zh-CN"/>
        </w:rPr>
        <w:t>，</w:t>
      </w:r>
      <w:r>
        <w:rPr>
          <w:rFonts w:hint="eastAsia" w:ascii="宋体" w:hAnsi="宋体" w:cs="宋体"/>
          <w:color w:val="auto"/>
          <w:sz w:val="28"/>
          <w:szCs w:val="28"/>
          <w:highlight w:val="none"/>
          <w:u w:val="none"/>
          <w:shd w:val="clear" w:color="auto" w:fill="FFFFFF"/>
          <w:lang w:val="en-US" w:eastAsia="zh-CN"/>
        </w:rPr>
        <w:t>绿证</w:t>
      </w:r>
      <w:r>
        <w:rPr>
          <w:rFonts w:hint="eastAsia" w:ascii="宋体" w:hAnsi="宋体" w:eastAsia="宋体" w:cs="宋体"/>
          <w:color w:val="auto"/>
          <w:sz w:val="28"/>
          <w:szCs w:val="28"/>
          <w:highlight w:val="none"/>
          <w:u w:val="none"/>
          <w:shd w:val="clear" w:color="auto" w:fill="FFFFFF"/>
        </w:rPr>
        <w:t>价格</w:t>
      </w:r>
      <w:r>
        <w:rPr>
          <w:rFonts w:hint="eastAsia" w:ascii="宋体" w:hAnsi="宋体" w:eastAsia="宋体" w:cs="宋体"/>
          <w:color w:val="auto"/>
          <w:sz w:val="28"/>
          <w:szCs w:val="28"/>
          <w:highlight w:val="none"/>
          <w:u w:val="none"/>
          <w:shd w:val="clear" w:color="auto" w:fill="FFFFFF"/>
          <w:lang w:val="en-US" w:eastAsia="zh-CN"/>
        </w:rPr>
        <w:t>为[</w:t>
      </w:r>
      <w:r>
        <w:rPr>
          <w:rFonts w:hint="eastAsia" w:ascii="宋体" w:hAnsi="宋体" w:eastAsia="宋体" w:cs="宋体"/>
          <w:color w:val="auto"/>
          <w:sz w:val="28"/>
          <w:szCs w:val="28"/>
          <w:highlight w:val="none"/>
          <w:u w:val="single"/>
          <w:shd w:val="clear" w:color="auto" w:fill="FFFFFF"/>
          <w:lang w:val="en-US" w:eastAsia="zh-CN"/>
        </w:rPr>
        <w:t xml:space="preserve">    </w:t>
      </w:r>
      <w:r>
        <w:rPr>
          <w:rFonts w:hint="eastAsia" w:ascii="宋体" w:hAnsi="宋体" w:eastAsia="宋体" w:cs="宋体"/>
          <w:color w:val="auto"/>
          <w:sz w:val="28"/>
          <w:szCs w:val="28"/>
          <w:highlight w:val="none"/>
          <w:u w:val="none"/>
          <w:shd w:val="clear" w:color="auto" w:fill="FFFFFF"/>
          <w:lang w:val="en-US" w:eastAsia="zh-CN"/>
        </w:rPr>
        <w:t>]元/千瓦时，</w:t>
      </w:r>
      <w:r>
        <w:rPr>
          <w:rFonts w:hint="eastAsia" w:ascii="宋体" w:hAnsi="宋体" w:eastAsia="宋体" w:cs="宋体"/>
          <w:color w:val="auto"/>
          <w:sz w:val="28"/>
          <w:szCs w:val="28"/>
          <w:highlight w:val="none"/>
          <w:u w:val="none"/>
          <w:shd w:val="clear" w:color="auto" w:fill="FFFFFF"/>
        </w:rPr>
        <w:t>以此作为委托</w:t>
      </w:r>
      <w:r>
        <w:rPr>
          <w:rFonts w:hint="eastAsia" w:ascii="宋体" w:hAnsi="宋体" w:eastAsia="宋体" w:cs="宋体"/>
          <w:color w:val="auto"/>
          <w:sz w:val="28"/>
          <w:szCs w:val="28"/>
          <w:highlight w:val="none"/>
          <w:u w:val="none"/>
          <w:shd w:val="clear" w:color="auto" w:fill="FFFFFF"/>
          <w:lang w:val="en-US" w:eastAsia="zh-CN"/>
        </w:rPr>
        <w:t>乙方</w:t>
      </w:r>
      <w:r>
        <w:rPr>
          <w:rFonts w:hint="eastAsia" w:ascii="宋体" w:hAnsi="宋体" w:eastAsia="宋体" w:cs="宋体"/>
          <w:color w:val="auto"/>
          <w:sz w:val="28"/>
          <w:szCs w:val="28"/>
          <w:highlight w:val="none"/>
          <w:u w:val="none"/>
          <w:shd w:val="clear" w:color="auto" w:fill="FFFFFF"/>
        </w:rPr>
        <w:t>参与</w:t>
      </w:r>
      <w:r>
        <w:rPr>
          <w:rFonts w:hint="eastAsia" w:ascii="宋体" w:hAnsi="宋体" w:eastAsia="宋体" w:cs="宋体"/>
          <w:color w:val="auto"/>
          <w:sz w:val="28"/>
          <w:szCs w:val="28"/>
          <w:highlight w:val="none"/>
          <w:u w:val="none"/>
          <w:shd w:val="clear" w:color="auto" w:fill="FFFFFF"/>
          <w:lang w:val="en-US" w:eastAsia="zh-CN"/>
        </w:rPr>
        <w:t>相关</w:t>
      </w:r>
      <w:r>
        <w:rPr>
          <w:rFonts w:hint="eastAsia" w:ascii="宋体" w:hAnsi="宋体" w:eastAsia="宋体" w:cs="宋体"/>
          <w:color w:val="auto"/>
          <w:sz w:val="28"/>
          <w:szCs w:val="28"/>
          <w:highlight w:val="none"/>
          <w:u w:val="none"/>
          <w:shd w:val="clear" w:color="auto" w:fill="FFFFFF"/>
        </w:rPr>
        <w:t>绿电交易的依据，并参与</w:t>
      </w:r>
      <w:r>
        <w:rPr>
          <w:rFonts w:hint="eastAsia" w:ascii="宋体" w:hAnsi="宋体" w:eastAsia="宋体" w:cs="宋体"/>
          <w:color w:val="auto"/>
          <w:sz w:val="28"/>
          <w:szCs w:val="28"/>
          <w:highlight w:val="none"/>
          <w:u w:val="none"/>
          <w:shd w:val="clear" w:color="auto" w:fill="FFFFFF"/>
          <w:lang w:val="en-US" w:eastAsia="zh-CN"/>
        </w:rPr>
        <w:t>乙方在</w:t>
      </w:r>
      <w:r>
        <w:rPr>
          <w:rFonts w:hint="eastAsia" w:ascii="宋体" w:hAnsi="宋体" w:eastAsia="宋体" w:cs="宋体"/>
          <w:color w:val="auto"/>
          <w:sz w:val="28"/>
          <w:szCs w:val="28"/>
          <w:highlight w:val="none"/>
          <w:u w:val="none"/>
          <w:shd w:val="clear" w:color="auto" w:fill="FFFFFF"/>
        </w:rPr>
        <w:t>批发侧</w:t>
      </w:r>
      <w:r>
        <w:rPr>
          <w:rFonts w:hint="eastAsia" w:ascii="宋体" w:hAnsi="宋体" w:eastAsia="宋体" w:cs="宋体"/>
          <w:color w:val="auto"/>
          <w:sz w:val="28"/>
          <w:szCs w:val="28"/>
          <w:highlight w:val="none"/>
          <w:u w:val="none"/>
          <w:shd w:val="clear" w:color="auto" w:fill="FFFFFF"/>
          <w:lang w:val="en-US" w:eastAsia="zh-CN"/>
        </w:rPr>
        <w:t>的</w:t>
      </w:r>
      <w:r>
        <w:rPr>
          <w:rFonts w:hint="eastAsia" w:ascii="宋体" w:hAnsi="宋体"/>
          <w:color w:val="auto"/>
          <w:sz w:val="28"/>
          <w:szCs w:val="28"/>
          <w:highlight w:val="none"/>
          <w:u w:val="none"/>
          <w:shd w:val="clear" w:color="auto" w:fill="FFFFFF"/>
        </w:rPr>
        <w:t>绿证价格结算用电量</w:t>
      </w:r>
      <w:r>
        <w:rPr>
          <w:rFonts w:hint="eastAsia" w:ascii="宋体" w:hAnsi="宋体" w:eastAsia="宋体" w:cs="宋体"/>
          <w:color w:val="auto"/>
          <w:sz w:val="28"/>
          <w:szCs w:val="28"/>
          <w:highlight w:val="none"/>
          <w:u w:val="none"/>
          <w:shd w:val="clear" w:color="auto" w:fill="FFFFFF"/>
        </w:rPr>
        <w:t>分配</w:t>
      </w:r>
      <w:r>
        <w:rPr>
          <w:rFonts w:hint="eastAsia" w:ascii="宋体" w:hAnsi="宋体" w:eastAsia="宋体" w:cs="宋体"/>
          <w:color w:val="auto"/>
          <w:sz w:val="28"/>
          <w:szCs w:val="28"/>
          <w:highlight w:val="none"/>
          <w:u w:val="none"/>
          <w:shd w:val="clear" w:color="auto" w:fill="FFFFFF"/>
          <w:lang w:eastAsia="zh-CN"/>
        </w:rPr>
        <w:t>，</w:t>
      </w:r>
      <w:r>
        <w:rPr>
          <w:rFonts w:hint="eastAsia" w:ascii="宋体" w:hAnsi="宋体" w:eastAsia="宋体" w:cs="宋体"/>
          <w:color w:val="auto"/>
          <w:sz w:val="28"/>
          <w:szCs w:val="28"/>
          <w:highlight w:val="none"/>
          <w:u w:val="none"/>
          <w:shd w:val="clear" w:color="auto" w:fill="FFFFFF"/>
          <w:lang w:val="en-US" w:eastAsia="zh-CN"/>
        </w:rPr>
        <w:t>最终形成甲方</w:t>
      </w:r>
      <w:r>
        <w:rPr>
          <w:rFonts w:hint="eastAsia" w:ascii="宋体" w:hAnsi="宋体"/>
          <w:color w:val="auto"/>
          <w:sz w:val="28"/>
          <w:szCs w:val="28"/>
          <w:highlight w:val="none"/>
          <w:u w:val="none"/>
          <w:shd w:val="clear" w:color="auto" w:fill="FFFFFF"/>
        </w:rPr>
        <w:t>绿证价格费用</w:t>
      </w:r>
      <w:r>
        <w:rPr>
          <w:rFonts w:hint="default" w:ascii="宋体" w:hAnsi="宋体" w:eastAsia="宋体" w:cs="宋体"/>
          <w:color w:val="auto"/>
          <w:sz w:val="28"/>
          <w:szCs w:val="28"/>
          <w:highlight w:val="none"/>
          <w:u w:val="none"/>
          <w:shd w:val="clear" w:color="auto" w:fill="FFFFFF"/>
          <w:lang w:val="en-US"/>
        </w:rPr>
        <w:t>。</w:t>
      </w:r>
      <w:r>
        <w:rPr>
          <w:rFonts w:hint="eastAsia" w:ascii="宋体" w:hAnsi="宋体"/>
          <w:color w:val="auto"/>
          <w:sz w:val="28"/>
          <w:szCs w:val="28"/>
          <w:highlight w:val="none"/>
          <w:u w:val="none"/>
          <w:shd w:val="clear" w:color="auto" w:fill="FFFFFF"/>
        </w:rPr>
        <w:t>绿证价格费用结算按照《海南省绿色电力交易实施细则》执行。</w:t>
      </w:r>
    </w:p>
    <w:p>
      <w:pPr>
        <w:spacing w:line="600" w:lineRule="exact"/>
        <w:ind w:left="0" w:firstLine="641"/>
        <w:rPr>
          <w:rFonts w:hint="eastAsia" w:ascii="宋体" w:hAnsi="宋体"/>
          <w:color w:val="auto"/>
          <w:sz w:val="28"/>
          <w:szCs w:val="28"/>
          <w:highlight w:val="none"/>
          <w:lang w:val="en-US"/>
        </w:rPr>
      </w:pPr>
      <w:r>
        <w:rPr>
          <w:rFonts w:hint="eastAsia" w:ascii="宋体" w:hAnsi="宋体" w:cs="宋体"/>
          <w:color w:val="auto"/>
          <w:sz w:val="28"/>
          <w:szCs w:val="28"/>
          <w:highlight w:val="none"/>
          <w:shd w:val="clear" w:color="auto" w:fill="FFFFFF"/>
          <w:lang w:val="en-US" w:eastAsia="zh-CN"/>
        </w:rPr>
        <w:t>4.7</w:t>
      </w:r>
      <w:r>
        <w:rPr>
          <w:rFonts w:hint="eastAsia" w:ascii="宋体" w:hAnsi="宋体"/>
          <w:color w:val="auto"/>
          <w:sz w:val="28"/>
          <w:szCs w:val="28"/>
          <w:highlight w:val="none"/>
          <w:lang w:val="en-US"/>
        </w:rPr>
        <w:t>峰谷浮动电费结算</w:t>
      </w:r>
    </w:p>
    <w:p>
      <w:pPr>
        <w:snapToGrid w:val="0"/>
        <w:spacing w:line="600" w:lineRule="exact"/>
        <w:ind w:left="0" w:firstLine="560" w:firstLineChars="200"/>
        <w:rPr>
          <w:rFonts w:hint="default"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甲方名下</w:t>
      </w:r>
      <w:r>
        <w:rPr>
          <w:rFonts w:hint="eastAsia" w:ascii="宋体" w:hAnsi="宋体" w:eastAsia="宋体" w:cs="宋体"/>
          <w:color w:val="auto"/>
          <w:sz w:val="28"/>
          <w:szCs w:val="28"/>
          <w:highlight w:val="none"/>
          <w:shd w:val="clear" w:color="auto" w:fill="FFFFFF"/>
          <w:lang w:val="en-US"/>
        </w:rPr>
        <w:t>执行峰谷分时电价政策的</w:t>
      </w:r>
      <w:r>
        <w:rPr>
          <w:rFonts w:hint="eastAsia" w:ascii="宋体" w:hAnsi="宋体" w:eastAsia="宋体" w:cs="宋体"/>
          <w:color w:val="auto"/>
          <w:sz w:val="28"/>
          <w:szCs w:val="28"/>
          <w:highlight w:val="none"/>
          <w:shd w:val="clear" w:color="auto" w:fill="FFFFFF"/>
          <w:lang w:val="en-US" w:eastAsia="zh-CN"/>
        </w:rPr>
        <w:t>计量点</w:t>
      </w:r>
      <w:r>
        <w:rPr>
          <w:rFonts w:hint="eastAsia" w:ascii="宋体" w:hAnsi="宋体" w:eastAsia="宋体" w:cs="宋体"/>
          <w:color w:val="auto"/>
          <w:sz w:val="28"/>
          <w:szCs w:val="28"/>
          <w:highlight w:val="none"/>
          <w:shd w:val="clear" w:color="auto" w:fill="FFFFFF"/>
          <w:lang w:val="en-US"/>
        </w:rPr>
        <w:t>实施峰谷分时段结算，具体算法按《海南电力市场结算实施细则》执行。</w:t>
      </w:r>
    </w:p>
    <w:p>
      <w:pPr>
        <w:pStyle w:val="13"/>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jc w:val="center"/>
        <w:textAlignment w:val="auto"/>
        <w:outlineLvl w:val="0"/>
        <w:rPr>
          <w:rFonts w:ascii="黑体" w:hAnsi="黑体" w:eastAsia="黑体" w:cs="黑体"/>
          <w:color w:val="auto"/>
          <w:sz w:val="30"/>
          <w:szCs w:val="30"/>
          <w:highlight w:val="none"/>
        </w:rPr>
      </w:pPr>
      <w:bookmarkStart w:id="49" w:name="_Toc1002"/>
      <w:bookmarkStart w:id="50" w:name="_Toc9467_WPSOffice_Level1"/>
      <w:bookmarkStart w:id="51" w:name="_Toc15718_WPSOffice_Level1"/>
      <w:bookmarkStart w:id="52" w:name="_Toc9031"/>
      <w:r>
        <w:rPr>
          <w:rFonts w:hint="eastAsia" w:ascii="黑体" w:hAnsi="黑体" w:eastAsia="黑体" w:cs="黑体"/>
          <w:color w:val="auto"/>
          <w:sz w:val="30"/>
          <w:szCs w:val="30"/>
          <w:highlight w:val="none"/>
        </w:rPr>
        <w:t>第5章　电能计量</w:t>
      </w:r>
      <w:bookmarkEnd w:id="44"/>
      <w:bookmarkEnd w:id="45"/>
      <w:bookmarkEnd w:id="49"/>
      <w:bookmarkEnd w:id="50"/>
      <w:bookmarkEnd w:id="51"/>
      <w:bookmarkEnd w:id="52"/>
    </w:p>
    <w:p>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宋体" w:hAnsi="宋体"/>
          <w:color w:val="auto"/>
          <w:sz w:val="28"/>
          <w:szCs w:val="28"/>
          <w:highlight w:val="none"/>
        </w:rPr>
      </w:pPr>
      <w:r>
        <w:rPr>
          <w:rFonts w:ascii="宋体" w:hAnsi="宋体"/>
          <w:color w:val="auto"/>
          <w:sz w:val="28"/>
          <w:szCs w:val="28"/>
          <w:highlight w:val="none"/>
        </w:rPr>
        <w:t>5.1电力交易</w:t>
      </w:r>
      <w:r>
        <w:rPr>
          <w:rFonts w:hint="eastAsia" w:ascii="宋体" w:hAnsi="宋体"/>
          <w:color w:val="auto"/>
          <w:sz w:val="28"/>
          <w:szCs w:val="28"/>
          <w:highlight w:val="none"/>
        </w:rPr>
        <w:t>结算电量</w:t>
      </w:r>
      <w:r>
        <w:rPr>
          <w:rFonts w:ascii="宋体" w:hAnsi="宋体"/>
          <w:color w:val="auto"/>
          <w:sz w:val="28"/>
          <w:szCs w:val="28"/>
          <w:highlight w:val="none"/>
        </w:rPr>
        <w:t>计量点</w:t>
      </w:r>
      <w:r>
        <w:rPr>
          <w:rFonts w:hint="eastAsia" w:ascii="宋体" w:hAnsi="宋体"/>
          <w:color w:val="auto"/>
          <w:sz w:val="28"/>
          <w:szCs w:val="28"/>
          <w:highlight w:val="none"/>
        </w:rPr>
        <w:t>以</w:t>
      </w:r>
      <w:r>
        <w:rPr>
          <w:rFonts w:ascii="宋体" w:hAnsi="宋体"/>
          <w:color w:val="auto"/>
          <w:sz w:val="28"/>
          <w:szCs w:val="28"/>
          <w:highlight w:val="none"/>
        </w:rPr>
        <w:t>甲方与电网企业签订的《供用电合同》</w:t>
      </w:r>
      <w:r>
        <w:rPr>
          <w:rFonts w:hint="eastAsia" w:ascii="宋体" w:hAnsi="宋体"/>
          <w:color w:val="auto"/>
          <w:sz w:val="28"/>
          <w:szCs w:val="28"/>
          <w:highlight w:val="none"/>
        </w:rPr>
        <w:t>约定的电能计量装置关口表安装位置为准</w:t>
      </w:r>
      <w:r>
        <w:rPr>
          <w:rFonts w:ascii="宋体" w:hAnsi="宋体"/>
          <w:color w:val="auto"/>
          <w:sz w:val="28"/>
          <w:szCs w:val="28"/>
          <w:highlight w:val="none"/>
        </w:rPr>
        <w:t>。</w:t>
      </w:r>
    </w:p>
    <w:p>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宋体" w:hAnsi="宋体"/>
          <w:color w:val="auto"/>
          <w:sz w:val="28"/>
          <w:szCs w:val="28"/>
          <w:highlight w:val="none"/>
        </w:rPr>
      </w:pPr>
      <w:r>
        <w:rPr>
          <w:rFonts w:ascii="宋体" w:hAnsi="宋体"/>
          <w:color w:val="auto"/>
          <w:sz w:val="28"/>
          <w:szCs w:val="28"/>
          <w:highlight w:val="none"/>
        </w:rPr>
        <w:t>5.2电力交易涉及的电能计量装置、电能计量装置校验要求和计量装置异常处理办法按</w:t>
      </w:r>
      <w:r>
        <w:rPr>
          <w:rFonts w:hint="eastAsia" w:ascii="宋体" w:hAnsi="宋体"/>
          <w:color w:val="auto"/>
          <w:sz w:val="28"/>
          <w:szCs w:val="28"/>
          <w:highlight w:val="none"/>
        </w:rPr>
        <w:t>甲方</w:t>
      </w:r>
      <w:r>
        <w:rPr>
          <w:rFonts w:ascii="宋体" w:hAnsi="宋体"/>
          <w:color w:val="auto"/>
          <w:sz w:val="28"/>
          <w:szCs w:val="28"/>
          <w:highlight w:val="none"/>
        </w:rPr>
        <w:t>与</w:t>
      </w:r>
      <w:r>
        <w:rPr>
          <w:rFonts w:hint="eastAsia" w:ascii="宋体" w:hAnsi="宋体"/>
          <w:color w:val="auto"/>
          <w:sz w:val="28"/>
          <w:szCs w:val="28"/>
          <w:highlight w:val="none"/>
        </w:rPr>
        <w:t>电网企业</w:t>
      </w:r>
      <w:r>
        <w:rPr>
          <w:rFonts w:ascii="宋体" w:hAnsi="宋体"/>
          <w:color w:val="auto"/>
          <w:sz w:val="28"/>
          <w:szCs w:val="28"/>
          <w:highlight w:val="none"/>
        </w:rPr>
        <w:t>签订的《供用电合同》</w:t>
      </w:r>
      <w:r>
        <w:rPr>
          <w:rFonts w:hint="eastAsia" w:ascii="宋体" w:hAnsi="宋体"/>
          <w:color w:val="auto"/>
          <w:sz w:val="28"/>
          <w:szCs w:val="28"/>
          <w:highlight w:val="none"/>
        </w:rPr>
        <w:t>约定执行。</w:t>
      </w:r>
    </w:p>
    <w:p>
      <w:pPr>
        <w:pStyle w:val="13"/>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jc w:val="center"/>
        <w:textAlignment w:val="auto"/>
        <w:outlineLvl w:val="0"/>
        <w:rPr>
          <w:rFonts w:ascii="黑体" w:hAnsi="黑体" w:eastAsia="黑体" w:cs="黑体"/>
          <w:color w:val="auto"/>
          <w:sz w:val="30"/>
          <w:szCs w:val="30"/>
          <w:highlight w:val="none"/>
        </w:rPr>
      </w:pPr>
      <w:bookmarkStart w:id="53" w:name="_Toc6974"/>
      <w:bookmarkStart w:id="54" w:name="_Toc732"/>
      <w:bookmarkStart w:id="55" w:name="_Toc31951"/>
      <w:bookmarkStart w:id="56" w:name="_Toc22079_WPSOffice_Level1"/>
      <w:bookmarkStart w:id="57" w:name="_Toc26733_WPSOffice_Level1"/>
      <w:bookmarkStart w:id="58" w:name="_Toc26866"/>
      <w:bookmarkStart w:id="59" w:name="_Toc31539"/>
      <w:bookmarkStart w:id="60" w:name="_Toc31803"/>
      <w:r>
        <w:rPr>
          <w:rFonts w:hint="eastAsia" w:ascii="黑体" w:hAnsi="黑体" w:eastAsia="黑体" w:cs="黑体"/>
          <w:color w:val="auto"/>
          <w:sz w:val="30"/>
          <w:szCs w:val="30"/>
          <w:highlight w:val="none"/>
        </w:rPr>
        <w:t>第6章  合同生效</w:t>
      </w:r>
      <w:bookmarkEnd w:id="53"/>
      <w:bookmarkEnd w:id="54"/>
      <w:r>
        <w:rPr>
          <w:rFonts w:hint="eastAsia" w:ascii="黑体" w:hAnsi="黑体" w:eastAsia="黑体" w:cs="黑体"/>
          <w:color w:val="auto"/>
          <w:sz w:val="30"/>
          <w:szCs w:val="30"/>
          <w:highlight w:val="none"/>
        </w:rPr>
        <w:t>和期限</w:t>
      </w:r>
      <w:bookmarkEnd w:id="55"/>
      <w:bookmarkEnd w:id="56"/>
      <w:bookmarkEnd w:id="57"/>
      <w:bookmarkEnd w:id="58"/>
      <w:bookmarkEnd w:id="59"/>
      <w:bookmarkEnd w:id="60"/>
    </w:p>
    <w:p>
      <w:pPr>
        <w:keepNext w:val="0"/>
        <w:keepLines w:val="0"/>
        <w:pageBreakBefore w:val="0"/>
        <w:widowControl w:val="0"/>
        <w:kinsoku/>
        <w:wordWrap/>
        <w:overflowPunct/>
        <w:topLinePunct w:val="0"/>
        <w:autoSpaceDE/>
        <w:autoSpaceDN/>
        <w:bidi w:val="0"/>
        <w:adjustRightInd/>
        <w:spacing w:line="600" w:lineRule="exact"/>
        <w:ind w:left="0" w:firstLine="641"/>
        <w:textAlignment w:val="auto"/>
        <w:rPr>
          <w:rFonts w:ascii="宋体" w:hAnsi="宋体" w:cs="宋体"/>
          <w:color w:val="auto"/>
          <w:sz w:val="28"/>
          <w:szCs w:val="28"/>
          <w:highlight w:val="none"/>
        </w:rPr>
      </w:pPr>
      <w:bookmarkStart w:id="61" w:name="_Toc20282"/>
      <w:bookmarkStart w:id="62" w:name="_Toc20087"/>
      <w:bookmarkStart w:id="63" w:name="_Toc15775"/>
      <w:bookmarkStart w:id="64" w:name="_Toc10340"/>
      <w:r>
        <w:rPr>
          <w:rFonts w:hint="eastAsia" w:ascii="宋体" w:hAnsi="宋体" w:cs="宋体"/>
          <w:color w:val="auto"/>
          <w:sz w:val="28"/>
          <w:szCs w:val="28"/>
          <w:highlight w:val="none"/>
        </w:rPr>
        <w:t>6.1 本合同的生效条件：</w:t>
      </w:r>
    </w:p>
    <w:p>
      <w:pPr>
        <w:keepNext w:val="0"/>
        <w:keepLines w:val="0"/>
        <w:pageBreakBefore w:val="0"/>
        <w:widowControl w:val="0"/>
        <w:kinsoku/>
        <w:wordWrap/>
        <w:overflowPunct/>
        <w:topLinePunct w:val="0"/>
        <w:autoSpaceDE/>
        <w:autoSpaceDN/>
        <w:bidi w:val="0"/>
        <w:adjustRightInd/>
        <w:spacing w:line="600" w:lineRule="exact"/>
        <w:ind w:left="0" w:firstLine="641"/>
        <w:textAlignment w:val="auto"/>
        <w:rPr>
          <w:rFonts w:ascii="宋体" w:hAnsi="宋体" w:cs="宋体"/>
          <w:color w:val="auto"/>
          <w:sz w:val="28"/>
          <w:szCs w:val="28"/>
          <w:highlight w:val="none"/>
        </w:rPr>
      </w:pPr>
      <w:r>
        <w:rPr>
          <w:rFonts w:hint="eastAsia" w:ascii="宋体" w:hAnsi="宋体" w:cs="宋体"/>
          <w:color w:val="auto"/>
          <w:sz w:val="28"/>
          <w:szCs w:val="28"/>
          <w:highlight w:val="none"/>
        </w:rPr>
        <w:t>本合同经双方法定代表人或授权委托代理人签字（签章）并加盖单位公章、合同专用章后生效。</w:t>
      </w:r>
    </w:p>
    <w:p>
      <w:pPr>
        <w:keepNext w:val="0"/>
        <w:keepLines w:val="0"/>
        <w:pageBreakBefore w:val="0"/>
        <w:widowControl w:val="0"/>
        <w:kinsoku/>
        <w:wordWrap/>
        <w:overflowPunct/>
        <w:topLinePunct w:val="0"/>
        <w:autoSpaceDE/>
        <w:autoSpaceDN/>
        <w:bidi w:val="0"/>
        <w:adjustRightInd/>
        <w:spacing w:line="600" w:lineRule="exact"/>
        <w:ind w:left="0" w:firstLine="641"/>
        <w:textAlignment w:val="auto"/>
        <w:rPr>
          <w:rFonts w:ascii="宋体" w:hAnsi="宋体" w:cs="宋体"/>
          <w:color w:val="auto"/>
          <w:sz w:val="28"/>
          <w:szCs w:val="28"/>
          <w:highlight w:val="none"/>
        </w:rPr>
      </w:pPr>
      <w:r>
        <w:rPr>
          <w:rFonts w:hint="eastAsia" w:ascii="宋体" w:hAnsi="宋体" w:cs="宋体"/>
          <w:color w:val="auto"/>
          <w:sz w:val="28"/>
          <w:szCs w:val="28"/>
          <w:highlight w:val="none"/>
        </w:rPr>
        <w:t>6.2</w:t>
      </w:r>
      <w:r>
        <w:rPr>
          <w:rFonts w:hint="eastAsia" w:ascii="宋体" w:hAnsi="宋体"/>
          <w:color w:val="auto"/>
          <w:sz w:val="28"/>
          <w:szCs w:val="28"/>
          <w:highlight w:val="none"/>
        </w:rPr>
        <w:t>双方一致约定：自</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月至</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月确定零售服务期限（</w:t>
      </w:r>
      <w:r>
        <w:rPr>
          <w:rFonts w:hint="eastAsia" w:ascii="宋体" w:hAnsi="宋体"/>
          <w:b/>
          <w:bCs/>
          <w:color w:val="auto"/>
          <w:sz w:val="28"/>
          <w:szCs w:val="28"/>
          <w:highlight w:val="none"/>
        </w:rPr>
        <w:t>即本合同有效期</w:t>
      </w:r>
      <w:r>
        <w:rPr>
          <w:rFonts w:hint="eastAsia" w:ascii="宋体" w:hAnsi="宋体"/>
          <w:color w:val="auto"/>
          <w:sz w:val="28"/>
          <w:szCs w:val="28"/>
          <w:highlight w:val="none"/>
        </w:rPr>
        <w:t>），由乙方为甲方提供电力市场化交易服务。</w:t>
      </w:r>
    </w:p>
    <w:p>
      <w:pPr>
        <w:pStyle w:val="13"/>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jc w:val="center"/>
        <w:textAlignment w:val="auto"/>
        <w:outlineLvl w:val="0"/>
        <w:rPr>
          <w:rFonts w:ascii="黑体" w:hAnsi="黑体" w:eastAsia="黑体" w:cs="黑体"/>
          <w:color w:val="auto"/>
          <w:sz w:val="30"/>
          <w:szCs w:val="30"/>
          <w:highlight w:val="none"/>
        </w:rPr>
      </w:pPr>
      <w:bookmarkStart w:id="65" w:name="_Toc29913_WPSOffice_Level1"/>
      <w:bookmarkStart w:id="66" w:name="_Toc13600_WPSOffice_Level1"/>
      <w:bookmarkStart w:id="67" w:name="_Toc16301"/>
      <w:bookmarkStart w:id="68" w:name="_Toc30555"/>
      <w:r>
        <w:rPr>
          <w:rFonts w:hint="eastAsia" w:ascii="黑体" w:hAnsi="黑体" w:eastAsia="黑体" w:cs="黑体"/>
          <w:color w:val="auto"/>
          <w:sz w:val="30"/>
          <w:szCs w:val="30"/>
          <w:highlight w:val="none"/>
        </w:rPr>
        <w:t>第7章  合同变更</w:t>
      </w:r>
      <w:bookmarkEnd w:id="61"/>
      <w:bookmarkEnd w:id="62"/>
      <w:bookmarkEnd w:id="63"/>
      <w:bookmarkEnd w:id="64"/>
      <w:bookmarkEnd w:id="65"/>
      <w:r>
        <w:rPr>
          <w:rFonts w:hint="eastAsia" w:ascii="黑体" w:hAnsi="黑体" w:eastAsia="黑体" w:cs="黑体"/>
          <w:color w:val="auto"/>
          <w:sz w:val="30"/>
          <w:szCs w:val="30"/>
          <w:highlight w:val="none"/>
        </w:rPr>
        <w:t>和解除</w:t>
      </w:r>
      <w:bookmarkEnd w:id="66"/>
      <w:bookmarkEnd w:id="67"/>
      <w:bookmarkEnd w:id="68"/>
    </w:p>
    <w:p>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宋体" w:hAnsi="宋体" w:cs="宋体"/>
          <w:color w:val="auto"/>
          <w:sz w:val="28"/>
          <w:szCs w:val="28"/>
          <w:highlight w:val="none"/>
        </w:rPr>
      </w:pPr>
      <w:bookmarkStart w:id="69" w:name="_Toc18411"/>
      <w:bookmarkStart w:id="70" w:name="_Toc7393"/>
      <w:bookmarkStart w:id="71" w:name="_Toc4702"/>
      <w:bookmarkStart w:id="72" w:name="_Toc21316"/>
      <w:r>
        <w:rPr>
          <w:rFonts w:hint="eastAsia" w:ascii="宋体" w:hAnsi="宋体" w:cs="宋体"/>
          <w:color w:val="auto"/>
          <w:sz w:val="28"/>
          <w:szCs w:val="28"/>
          <w:highlight w:val="none"/>
        </w:rPr>
        <w:t>7.1本合同的任何修改、补充、变更或解除须由双方签订补充变更/解除协议。</w:t>
      </w:r>
    </w:p>
    <w:p>
      <w:pPr>
        <w:pStyle w:val="13"/>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firstLine="560" w:firstLineChars="200"/>
        <w:textAlignment w:val="auto"/>
        <w:rPr>
          <w:rFonts w:ascii="宋体" w:hAnsi="宋体" w:cs="宋体"/>
          <w:color w:val="auto"/>
          <w:sz w:val="28"/>
          <w:szCs w:val="28"/>
          <w:highlight w:val="none"/>
        </w:rPr>
      </w:pPr>
      <w:r>
        <w:rPr>
          <w:rFonts w:hint="eastAsia" w:ascii="宋体" w:hAnsi="宋体" w:cs="宋体"/>
          <w:color w:val="auto"/>
          <w:sz w:val="28"/>
          <w:szCs w:val="28"/>
          <w:highlight w:val="none"/>
        </w:rPr>
        <w:t>7.2因国家法律、法规发生变化或者政府有关部门、监管机构出台有关规定、规则或经协商一致，双方变更本合同。</w:t>
      </w:r>
    </w:p>
    <w:p>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7.3一方发生下列事件，则对方有权在发出解除通知后解除本合同：</w:t>
      </w:r>
    </w:p>
    <w:p>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（1）一方被申请破产、清算或被吊销营业执照；</w:t>
      </w:r>
    </w:p>
    <w:p>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（2）一方被政府有关部门和社会组织依法依规对其他领域失信行为做出处理，被纳入涉电力领域失信联合惩戒对象名单或诚信状况重点关注名单的；</w:t>
      </w:r>
    </w:p>
    <w:p>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（3）海南电力市场主体被政府主管部门、监管机构认定的不适于继续参与电力市场化交易的。</w:t>
      </w:r>
    </w:p>
    <w:p>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7.4满足解除合同条件的（含双方协商一致），可解除本合同。</w:t>
      </w:r>
    </w:p>
    <w:p>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宋体" w:hAnsi="宋体"/>
          <w:color w:val="auto"/>
          <w:sz w:val="28"/>
          <w:szCs w:val="28"/>
          <w:highlight w:val="none"/>
          <w:u w:val="single"/>
        </w:rPr>
      </w:pPr>
      <w:r>
        <w:rPr>
          <w:rFonts w:hint="eastAsia" w:ascii="宋体" w:hAnsi="宋体"/>
          <w:color w:val="auto"/>
          <w:sz w:val="28"/>
          <w:szCs w:val="28"/>
          <w:highlight w:val="none"/>
        </w:rPr>
        <w:t>7.5双方不得擅自终止、解除本合同。如果因一方原因导致合同解除，则该方应赔偿对方因此而遭受的损失。</w:t>
      </w:r>
    </w:p>
    <w:p>
      <w:pPr>
        <w:pStyle w:val="13"/>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jc w:val="center"/>
        <w:textAlignment w:val="auto"/>
        <w:outlineLvl w:val="0"/>
        <w:rPr>
          <w:rFonts w:ascii="黑体" w:hAnsi="黑体" w:eastAsia="黑体" w:cs="黑体"/>
          <w:color w:val="auto"/>
          <w:sz w:val="30"/>
          <w:szCs w:val="30"/>
          <w:highlight w:val="none"/>
        </w:rPr>
      </w:pPr>
      <w:bookmarkStart w:id="73" w:name="_Toc7997"/>
      <w:bookmarkStart w:id="74" w:name="_Toc19335_WPSOffice_Level1"/>
      <w:bookmarkStart w:id="75" w:name="_Toc28721"/>
      <w:bookmarkStart w:id="76" w:name="_Toc2784_WPSOffice_Level1"/>
      <w:r>
        <w:rPr>
          <w:rFonts w:hint="eastAsia" w:ascii="黑体" w:hAnsi="黑体" w:eastAsia="黑体" w:cs="黑体"/>
          <w:color w:val="auto"/>
          <w:sz w:val="30"/>
          <w:szCs w:val="30"/>
          <w:highlight w:val="none"/>
        </w:rPr>
        <w:t>第8章　合同违约和赔偿</w:t>
      </w:r>
      <w:bookmarkEnd w:id="69"/>
      <w:bookmarkEnd w:id="70"/>
      <w:bookmarkEnd w:id="71"/>
      <w:bookmarkEnd w:id="72"/>
      <w:bookmarkEnd w:id="73"/>
      <w:bookmarkEnd w:id="74"/>
      <w:bookmarkEnd w:id="75"/>
      <w:bookmarkEnd w:id="76"/>
    </w:p>
    <w:p>
      <w:pPr>
        <w:keepNext w:val="0"/>
        <w:keepLines w:val="0"/>
        <w:pageBreakBefore w:val="0"/>
        <w:widowControl w:val="0"/>
        <w:kinsoku/>
        <w:wordWrap/>
        <w:overflowPunct/>
        <w:topLinePunct w:val="0"/>
        <w:autoSpaceDE/>
        <w:autoSpaceDN/>
        <w:bidi w:val="0"/>
        <w:adjustRightInd/>
        <w:spacing w:line="600" w:lineRule="exact"/>
        <w:ind w:left="0" w:firstLine="641"/>
        <w:textAlignment w:val="auto"/>
        <w:rPr>
          <w:rFonts w:ascii="宋体" w:hAnsi="宋体" w:cs="宋体"/>
          <w:color w:val="auto"/>
          <w:sz w:val="28"/>
          <w:szCs w:val="28"/>
          <w:highlight w:val="none"/>
        </w:rPr>
      </w:pPr>
      <w:bookmarkStart w:id="77" w:name="_Toc8058"/>
      <w:bookmarkStart w:id="78" w:name="_Toc16465"/>
      <w:bookmarkStart w:id="79" w:name="_Toc11572"/>
      <w:bookmarkStart w:id="80" w:name="_Toc13696"/>
      <w:r>
        <w:rPr>
          <w:rFonts w:hint="eastAsia" w:ascii="宋体" w:hAnsi="宋体" w:cs="宋体"/>
          <w:color w:val="auto"/>
          <w:sz w:val="28"/>
          <w:szCs w:val="28"/>
          <w:highlight w:val="none"/>
        </w:rPr>
        <w:t xml:space="preserve">8.1任一方违反本合同约定条款视为违约，合同另一方有权要求违约方赔偿违约造成的经济损失。                                  </w:t>
      </w:r>
    </w:p>
    <w:p>
      <w:pPr>
        <w:keepNext w:val="0"/>
        <w:keepLines w:val="0"/>
        <w:pageBreakBefore w:val="0"/>
        <w:widowControl w:val="0"/>
        <w:kinsoku/>
        <w:wordWrap/>
        <w:overflowPunct/>
        <w:topLinePunct w:val="0"/>
        <w:autoSpaceDE/>
        <w:autoSpaceDN/>
        <w:bidi w:val="0"/>
        <w:adjustRightInd/>
        <w:spacing w:line="600" w:lineRule="exact"/>
        <w:ind w:left="0" w:firstLine="641"/>
        <w:textAlignment w:val="auto"/>
        <w:rPr>
          <w:rFonts w:ascii="宋体" w:hAnsi="宋体" w:cs="宋体"/>
          <w:color w:val="auto"/>
          <w:sz w:val="28"/>
          <w:szCs w:val="28"/>
          <w:highlight w:val="none"/>
        </w:rPr>
      </w:pPr>
      <w:r>
        <w:rPr>
          <w:rFonts w:hint="eastAsia" w:ascii="宋体" w:hAnsi="宋体" w:cs="宋体"/>
          <w:color w:val="auto"/>
          <w:sz w:val="28"/>
          <w:szCs w:val="28"/>
          <w:highlight w:val="none"/>
        </w:rPr>
        <w:t>8.2违约的处理原则</w:t>
      </w:r>
    </w:p>
    <w:p>
      <w:pPr>
        <w:keepNext w:val="0"/>
        <w:keepLines w:val="0"/>
        <w:pageBreakBefore w:val="0"/>
        <w:widowControl w:val="0"/>
        <w:kinsoku/>
        <w:wordWrap/>
        <w:overflowPunct/>
        <w:topLinePunct w:val="0"/>
        <w:autoSpaceDE/>
        <w:autoSpaceDN/>
        <w:bidi w:val="0"/>
        <w:adjustRightInd/>
        <w:spacing w:line="600" w:lineRule="exact"/>
        <w:ind w:left="0" w:firstLine="641"/>
        <w:textAlignment w:val="auto"/>
        <w:rPr>
          <w:rFonts w:ascii="宋体" w:hAnsi="宋体" w:cs="宋体"/>
          <w:color w:val="auto"/>
          <w:sz w:val="28"/>
          <w:szCs w:val="28"/>
          <w:highlight w:val="none"/>
        </w:rPr>
      </w:pPr>
      <w:r>
        <w:rPr>
          <w:rFonts w:hint="eastAsia" w:ascii="宋体" w:hAnsi="宋体" w:cs="宋体"/>
          <w:color w:val="auto"/>
          <w:sz w:val="28"/>
          <w:szCs w:val="28"/>
          <w:highlight w:val="none"/>
        </w:rPr>
        <w:t>8.2.1违约行为发生后，除非守约方提出书面要求解除合同，否则违约方应继续履行合同。违约方应承担支付违约金、继续履行合同和采取补救措施等责任。在支付违约金、继续履约或者采取补救措施后，仍给守约方造成其他损失的，应当赔偿损失。</w:t>
      </w:r>
    </w:p>
    <w:p>
      <w:pPr>
        <w:keepNext w:val="0"/>
        <w:keepLines w:val="0"/>
        <w:pageBreakBefore w:val="0"/>
        <w:widowControl w:val="0"/>
        <w:kinsoku/>
        <w:wordWrap/>
        <w:overflowPunct/>
        <w:topLinePunct w:val="0"/>
        <w:autoSpaceDE/>
        <w:autoSpaceDN/>
        <w:bidi w:val="0"/>
        <w:adjustRightInd/>
        <w:spacing w:line="600" w:lineRule="exact"/>
        <w:ind w:left="0" w:firstLine="641"/>
        <w:textAlignment w:val="auto"/>
        <w:rPr>
          <w:rFonts w:ascii="宋体" w:hAnsi="宋体" w:cs="宋体"/>
          <w:color w:val="auto"/>
          <w:sz w:val="28"/>
          <w:szCs w:val="28"/>
          <w:highlight w:val="none"/>
        </w:rPr>
      </w:pPr>
      <w:r>
        <w:rPr>
          <w:rFonts w:hint="eastAsia" w:ascii="宋体" w:hAnsi="宋体" w:cs="宋体"/>
          <w:color w:val="auto"/>
          <w:sz w:val="28"/>
          <w:szCs w:val="28"/>
          <w:highlight w:val="none"/>
        </w:rPr>
        <w:t xml:space="preserve">8.2.2在本合同履行期限届满之前，任一方明确表示或以自己的行为表明不履行合同义务的，另一方可在履行期限届满前解除合同并要求对方承担相应的违约责任，因不可抗力导致除外。                                               </w:t>
      </w:r>
    </w:p>
    <w:p>
      <w:pPr>
        <w:keepNext w:val="0"/>
        <w:keepLines w:val="0"/>
        <w:pageBreakBefore w:val="0"/>
        <w:widowControl w:val="0"/>
        <w:kinsoku/>
        <w:wordWrap/>
        <w:overflowPunct/>
        <w:topLinePunct w:val="0"/>
        <w:autoSpaceDE/>
        <w:autoSpaceDN/>
        <w:bidi w:val="0"/>
        <w:adjustRightInd/>
        <w:spacing w:line="600" w:lineRule="exact"/>
        <w:ind w:left="0" w:firstLine="641"/>
        <w:textAlignment w:val="auto"/>
        <w:rPr>
          <w:rFonts w:ascii="宋体" w:hAnsi="宋体" w:cs="宋体"/>
          <w:color w:val="auto"/>
          <w:sz w:val="28"/>
          <w:szCs w:val="28"/>
          <w:highlight w:val="none"/>
        </w:rPr>
      </w:pPr>
      <w:r>
        <w:rPr>
          <w:rFonts w:hint="eastAsia" w:ascii="宋体" w:hAnsi="宋体" w:cs="宋体"/>
          <w:color w:val="auto"/>
          <w:sz w:val="28"/>
          <w:szCs w:val="28"/>
          <w:highlight w:val="none"/>
        </w:rPr>
        <w:t>8.2.3一方违约后，另一方应当采取适当的措施防止损失扩大，如果因没有采取适当的措施致使损失扩大的，则其不得就扩大的损失要求违约方承担赔偿责任。</w:t>
      </w:r>
    </w:p>
    <w:p>
      <w:pPr>
        <w:keepNext w:val="0"/>
        <w:keepLines w:val="0"/>
        <w:pageBreakBefore w:val="0"/>
        <w:widowControl w:val="0"/>
        <w:kinsoku/>
        <w:wordWrap/>
        <w:overflowPunct/>
        <w:topLinePunct w:val="0"/>
        <w:autoSpaceDE/>
        <w:autoSpaceDN/>
        <w:bidi w:val="0"/>
        <w:adjustRightInd/>
        <w:spacing w:line="600" w:lineRule="exact"/>
        <w:ind w:left="0" w:firstLine="560" w:firstLineChars="200"/>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8.3违约赔偿</w:t>
      </w:r>
    </w:p>
    <w:p>
      <w:pPr>
        <w:keepNext w:val="0"/>
        <w:keepLines w:val="0"/>
        <w:pageBreakBefore w:val="0"/>
        <w:widowControl w:val="0"/>
        <w:kinsoku/>
        <w:wordWrap/>
        <w:overflowPunct/>
        <w:topLinePunct w:val="0"/>
        <w:autoSpaceDE/>
        <w:autoSpaceDN/>
        <w:bidi w:val="0"/>
        <w:adjustRightInd/>
        <w:spacing w:line="600" w:lineRule="exact"/>
        <w:ind w:left="0" w:firstLine="564"/>
        <w:textAlignment w:val="auto"/>
        <w:rPr>
          <w:rFonts w:ascii="宋体" w:hAnsi="宋体"/>
          <w:color w:val="auto"/>
          <w:sz w:val="28"/>
          <w:szCs w:val="28"/>
          <w:highlight w:val="none"/>
        </w:rPr>
      </w:pPr>
      <w:r>
        <w:rPr>
          <w:rFonts w:hint="eastAsia" w:ascii="宋体" w:hAnsi="宋体"/>
          <w:color w:val="auto"/>
          <w:sz w:val="28"/>
          <w:szCs w:val="28"/>
          <w:highlight w:val="none"/>
        </w:rPr>
        <w:t>8.3.1本合同签订后，在同一零售服务期限内甲方不得再与其他企业签订同类的合同或协议。因甲方原因导致本协议部分或全部不能履约时，甲方应向乙方支付违约金人民币</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万元；因乙方原因导致本协议部分或全部不能履约时，乙方应向甲方支付违约金人民币</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万元。</w:t>
      </w:r>
    </w:p>
    <w:p>
      <w:pPr>
        <w:keepNext w:val="0"/>
        <w:keepLines w:val="0"/>
        <w:pageBreakBefore w:val="0"/>
        <w:widowControl w:val="0"/>
        <w:kinsoku/>
        <w:wordWrap/>
        <w:overflowPunct/>
        <w:topLinePunct w:val="0"/>
        <w:autoSpaceDE/>
        <w:autoSpaceDN/>
        <w:bidi w:val="0"/>
        <w:adjustRightInd/>
        <w:spacing w:line="600" w:lineRule="exact"/>
        <w:ind w:left="0" w:firstLine="641"/>
        <w:textAlignment w:val="auto"/>
        <w:rPr>
          <w:rFonts w:ascii="宋体" w:hAnsi="宋体" w:cs="宋体"/>
          <w:color w:val="auto"/>
          <w:sz w:val="28"/>
          <w:szCs w:val="28"/>
          <w:highlight w:val="none"/>
        </w:rPr>
      </w:pPr>
      <w:r>
        <w:rPr>
          <w:rFonts w:hint="eastAsia" w:ascii="宋体" w:hAnsi="宋体" w:cs="宋体"/>
          <w:color w:val="auto"/>
          <w:sz w:val="28"/>
          <w:szCs w:val="28"/>
          <w:highlight w:val="none"/>
        </w:rPr>
        <w:t>8.3.2如发生提交虚假信息、停产、变更、退市等行为，影响企业履行合同义务的情形，违约方给守约方造成的一切直接及间接损失，由违约方承担违约赔偿责任。</w:t>
      </w:r>
    </w:p>
    <w:p>
      <w:pPr>
        <w:keepNext w:val="0"/>
        <w:keepLines w:val="0"/>
        <w:pageBreakBefore w:val="0"/>
        <w:widowControl w:val="0"/>
        <w:kinsoku/>
        <w:wordWrap/>
        <w:overflowPunct/>
        <w:topLinePunct w:val="0"/>
        <w:autoSpaceDE/>
        <w:autoSpaceDN/>
        <w:bidi w:val="0"/>
        <w:adjustRightInd/>
        <w:spacing w:line="600" w:lineRule="exact"/>
        <w:ind w:left="0" w:firstLine="641"/>
        <w:textAlignment w:val="auto"/>
        <w:rPr>
          <w:rFonts w:ascii="宋体" w:hAnsi="宋体" w:cs="宋体"/>
          <w:color w:val="auto"/>
          <w:sz w:val="28"/>
          <w:szCs w:val="28"/>
          <w:highlight w:val="none"/>
        </w:rPr>
      </w:pPr>
      <w:r>
        <w:rPr>
          <w:rFonts w:hint="eastAsia" w:ascii="宋体" w:hAnsi="宋体" w:cs="宋体"/>
          <w:color w:val="auto"/>
          <w:sz w:val="28"/>
          <w:szCs w:val="28"/>
          <w:highlight w:val="none"/>
        </w:rPr>
        <w:t>8.4除本合同其他各章约定以外，双方约定：</w:t>
      </w:r>
    </w:p>
    <w:p>
      <w:pPr>
        <w:keepNext w:val="0"/>
        <w:keepLines w:val="0"/>
        <w:pageBreakBefore w:val="0"/>
        <w:widowControl w:val="0"/>
        <w:kinsoku/>
        <w:wordWrap/>
        <w:overflowPunct/>
        <w:topLinePunct w:val="0"/>
        <w:autoSpaceDE/>
        <w:autoSpaceDN/>
        <w:bidi w:val="0"/>
        <w:adjustRightInd/>
        <w:spacing w:line="600" w:lineRule="exact"/>
        <w:ind w:left="0" w:firstLine="641"/>
        <w:textAlignment w:val="auto"/>
        <w:rPr>
          <w:rFonts w:ascii="宋体" w:hAnsi="宋体" w:cs="宋体"/>
          <w:color w:val="auto"/>
          <w:sz w:val="28"/>
          <w:szCs w:val="28"/>
          <w:highlight w:val="none"/>
          <w:u w:val="single"/>
        </w:rPr>
      </w:pPr>
      <w:r>
        <w:rPr>
          <w:rFonts w:hint="eastAsia" w:ascii="宋体" w:hAnsi="宋体" w:cs="宋体"/>
          <w:color w:val="auto"/>
          <w:sz w:val="28"/>
          <w:szCs w:val="28"/>
          <w:highlight w:val="none"/>
        </w:rPr>
        <w:t>甲方应当承担的违约责任还包括：</w:t>
      </w:r>
      <w:r>
        <w:rPr>
          <w:rFonts w:hint="eastAsia" w:ascii="宋体" w:hAnsi="宋体" w:cs="宋体"/>
          <w:color w:val="auto"/>
          <w:sz w:val="28"/>
          <w:szCs w:val="28"/>
          <w:highlight w:val="none"/>
          <w:u w:val="single"/>
        </w:rPr>
        <w:t>　          　</w:t>
      </w:r>
      <w:r>
        <w:rPr>
          <w:rFonts w:hint="eastAsia" w:ascii="宋体" w:hAnsi="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pacing w:line="600" w:lineRule="exact"/>
        <w:ind w:left="0" w:firstLine="641"/>
        <w:textAlignment w:val="auto"/>
        <w:rPr>
          <w:rFonts w:ascii="宋体" w:hAnsi="宋体" w:cs="宋体"/>
          <w:color w:val="auto"/>
          <w:sz w:val="28"/>
          <w:szCs w:val="28"/>
          <w:highlight w:val="none"/>
        </w:rPr>
      </w:pPr>
      <w:r>
        <w:rPr>
          <w:rFonts w:hint="eastAsia" w:ascii="宋体" w:hAnsi="宋体" w:cs="宋体"/>
          <w:color w:val="auto"/>
          <w:sz w:val="28"/>
          <w:szCs w:val="28"/>
          <w:highlight w:val="none"/>
        </w:rPr>
        <w:t>乙方应当承担的违约责任还包括：</w:t>
      </w:r>
      <w:r>
        <w:rPr>
          <w:rFonts w:hint="eastAsia" w:ascii="宋体" w:hAnsi="宋体" w:cs="宋体"/>
          <w:color w:val="auto"/>
          <w:sz w:val="28"/>
          <w:szCs w:val="28"/>
          <w:highlight w:val="none"/>
          <w:u w:val="single"/>
        </w:rPr>
        <w:t>　          　</w:t>
      </w:r>
      <w:r>
        <w:rPr>
          <w:rFonts w:hint="eastAsia" w:ascii="宋体" w:hAnsi="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pacing w:line="600" w:lineRule="exact"/>
        <w:ind w:left="0" w:firstLine="641"/>
        <w:textAlignment w:val="auto"/>
        <w:rPr>
          <w:rFonts w:ascii="宋体" w:hAnsi="宋体" w:cs="宋体"/>
          <w:color w:val="auto"/>
          <w:sz w:val="28"/>
          <w:szCs w:val="28"/>
          <w:highlight w:val="none"/>
        </w:rPr>
      </w:pPr>
      <w:r>
        <w:rPr>
          <w:rFonts w:hint="eastAsia" w:ascii="宋体" w:hAnsi="宋体" w:cs="宋体"/>
          <w:color w:val="auto"/>
          <w:sz w:val="28"/>
          <w:szCs w:val="28"/>
          <w:highlight w:val="none"/>
        </w:rPr>
        <w:t>8.5除另有约定外，一旦发生任一方未能履行本合同项下的任何义务的情况，守约方可向违约方发出有关违约的书面通知，如果在通知发出后5个工作日内，违约方仍未纠正其违约的，应承担相应的违约责任。</w:t>
      </w:r>
    </w:p>
    <w:bookmarkEnd w:id="77"/>
    <w:bookmarkEnd w:id="78"/>
    <w:bookmarkEnd w:id="79"/>
    <w:bookmarkEnd w:id="80"/>
    <w:p>
      <w:pPr>
        <w:pStyle w:val="13"/>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jc w:val="center"/>
        <w:textAlignment w:val="auto"/>
        <w:outlineLvl w:val="0"/>
        <w:rPr>
          <w:rFonts w:ascii="黑体" w:hAnsi="黑体" w:eastAsia="黑体" w:cs="黑体"/>
          <w:color w:val="auto"/>
          <w:sz w:val="30"/>
          <w:szCs w:val="30"/>
          <w:highlight w:val="none"/>
        </w:rPr>
      </w:pPr>
      <w:bookmarkStart w:id="81" w:name="_Toc29021_WPSOffice_Level1"/>
      <w:bookmarkStart w:id="82" w:name="_Toc9860_WPSOffice_Level1"/>
      <w:bookmarkStart w:id="83" w:name="_Toc22786"/>
      <w:bookmarkStart w:id="84" w:name="_Toc26569"/>
      <w:bookmarkStart w:id="85" w:name="_Toc5434"/>
      <w:bookmarkStart w:id="86" w:name="_Toc1141"/>
      <w:bookmarkStart w:id="87" w:name="_Toc17337"/>
      <w:bookmarkStart w:id="88" w:name="_Toc12100"/>
      <w:r>
        <w:rPr>
          <w:rFonts w:hint="eastAsia" w:ascii="黑体" w:hAnsi="黑体" w:eastAsia="黑体" w:cs="黑体"/>
          <w:color w:val="auto"/>
          <w:sz w:val="30"/>
          <w:szCs w:val="30"/>
          <w:highlight w:val="none"/>
        </w:rPr>
        <w:t>第9章　免责条款</w:t>
      </w:r>
      <w:bookmarkEnd w:id="81"/>
      <w:bookmarkEnd w:id="82"/>
      <w:bookmarkEnd w:id="83"/>
      <w:bookmarkEnd w:id="84"/>
      <w:bookmarkEnd w:id="85"/>
      <w:bookmarkEnd w:id="86"/>
      <w:bookmarkEnd w:id="87"/>
      <w:bookmarkEnd w:id="88"/>
    </w:p>
    <w:p>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宋体" w:hAnsi="宋体"/>
          <w:color w:val="auto"/>
          <w:sz w:val="28"/>
          <w:szCs w:val="28"/>
          <w:highlight w:val="none"/>
        </w:rPr>
      </w:pPr>
      <w:bookmarkStart w:id="89" w:name="_Toc21253"/>
      <w:bookmarkStart w:id="90" w:name="_Toc667"/>
      <w:bookmarkStart w:id="91" w:name="_Toc9782"/>
      <w:bookmarkStart w:id="92" w:name="_Toc4316"/>
      <w:r>
        <w:rPr>
          <w:rFonts w:hint="eastAsia" w:ascii="宋体" w:hAnsi="宋体"/>
          <w:color w:val="auto"/>
          <w:sz w:val="28"/>
          <w:szCs w:val="28"/>
          <w:highlight w:val="none"/>
        </w:rPr>
        <w:t>9.1若不可抗力的发生完全或部分地妨碍合同任一方履行本合同项下的任何义务，则该方可暂停履行其义务，但前提是：</w:t>
      </w:r>
    </w:p>
    <w:p>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9.1.1暂停履行的范围和时间不超过消除不可抗力影响的合理需要；</w:t>
      </w:r>
    </w:p>
    <w:p>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9.1.2受不可抗力影响的一方应继续履行本合同项下未受不可抗力影响的其他义务，包括所有到期付款的义务；</w:t>
      </w:r>
    </w:p>
    <w:p>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9.1.3不可抗力因素消除后，该方应尽快恢复履行本合同。</w:t>
      </w:r>
    </w:p>
    <w:p>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9.2若任一方因不可抗力而不能履行本合同，则该方应尽快书面通知对方。该通知书应说明不可抗力的发生日期和预计持续的时间、事件性质、对该方履行本合同的影响及该方为减少不可抗力影响所采取的措施。</w:t>
      </w:r>
    </w:p>
    <w:p>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9.3受不可抗力影响一方应采取合理的措施，以减少因不可抗力给合同对方带来的损失。双方应及时协商制定并实施补救计划及合理的替代措施以减少或消除不可抗力的影响。如果受不可抗力影响的一方未能履行其应尽义务采取合理措施导致损失扩大，则该方应承担由此扩大造成的损失。</w:t>
      </w:r>
    </w:p>
    <w:p>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9.4不可抗力造成的合同解除</w:t>
      </w:r>
    </w:p>
    <w:p>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如果自不可抗力发生后 30 日内，双方不能就继续履行合同的条件或解除本合同达成一致意见，任一方有权书面通知对方解除本合同，则该方不需承担责任。</w:t>
      </w:r>
    </w:p>
    <w:p>
      <w:pPr>
        <w:pStyle w:val="13"/>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jc w:val="center"/>
        <w:textAlignment w:val="auto"/>
        <w:outlineLvl w:val="0"/>
        <w:rPr>
          <w:rFonts w:ascii="黑体" w:hAnsi="黑体" w:eastAsia="黑体" w:cs="黑体"/>
          <w:color w:val="auto"/>
          <w:sz w:val="30"/>
          <w:szCs w:val="30"/>
          <w:highlight w:val="none"/>
        </w:rPr>
      </w:pPr>
      <w:bookmarkStart w:id="93" w:name="_Toc22773"/>
      <w:bookmarkStart w:id="94" w:name="_Toc12912_WPSOffice_Level1"/>
      <w:bookmarkStart w:id="95" w:name="_Toc19358_WPSOffice_Level1"/>
      <w:bookmarkStart w:id="96" w:name="_Toc31617"/>
      <w:r>
        <w:rPr>
          <w:rFonts w:hint="eastAsia" w:ascii="黑体" w:hAnsi="黑体" w:eastAsia="黑体" w:cs="黑体"/>
          <w:color w:val="auto"/>
          <w:sz w:val="30"/>
          <w:szCs w:val="30"/>
          <w:highlight w:val="none"/>
        </w:rPr>
        <w:t>第10章　争议的解决</w:t>
      </w:r>
      <w:bookmarkEnd w:id="89"/>
      <w:bookmarkEnd w:id="90"/>
      <w:bookmarkEnd w:id="91"/>
      <w:bookmarkEnd w:id="92"/>
      <w:bookmarkEnd w:id="93"/>
      <w:bookmarkEnd w:id="94"/>
      <w:bookmarkEnd w:id="95"/>
      <w:bookmarkEnd w:id="96"/>
    </w:p>
    <w:p>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宋体" w:hAnsi="宋体"/>
          <w:color w:val="auto"/>
          <w:sz w:val="28"/>
          <w:szCs w:val="28"/>
          <w:highlight w:val="none"/>
        </w:rPr>
      </w:pPr>
      <w:bookmarkStart w:id="97" w:name="_Toc13698"/>
      <w:bookmarkStart w:id="98" w:name="_Toc2641"/>
      <w:bookmarkStart w:id="99" w:name="_Toc28190"/>
      <w:bookmarkStart w:id="100" w:name="_Toc26351"/>
      <w:r>
        <w:rPr>
          <w:rFonts w:hint="eastAsia" w:ascii="宋体" w:hAnsi="宋体"/>
          <w:color w:val="auto"/>
          <w:sz w:val="28"/>
          <w:szCs w:val="28"/>
          <w:highlight w:val="none"/>
        </w:rPr>
        <w:t>10.1 凡因执行本合同所发生的与本合同有关的一切争议，双方应协商解决，也可提请电力监管机构和政府主管部门进行调解。协商或调解不成的，任一方依法通过诉讼程序解决。</w:t>
      </w:r>
    </w:p>
    <w:bookmarkEnd w:id="97"/>
    <w:bookmarkEnd w:id="98"/>
    <w:bookmarkEnd w:id="99"/>
    <w:bookmarkEnd w:id="100"/>
    <w:p>
      <w:pPr>
        <w:pStyle w:val="13"/>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jc w:val="center"/>
        <w:textAlignment w:val="auto"/>
        <w:outlineLvl w:val="0"/>
        <w:rPr>
          <w:rFonts w:ascii="黑体" w:hAnsi="黑体" w:eastAsia="黑体" w:cs="黑体"/>
          <w:color w:val="auto"/>
          <w:sz w:val="30"/>
          <w:szCs w:val="30"/>
          <w:highlight w:val="none"/>
        </w:rPr>
      </w:pPr>
      <w:bookmarkStart w:id="101" w:name="_Toc17584"/>
      <w:bookmarkStart w:id="102" w:name="_Toc19189"/>
      <w:bookmarkStart w:id="103" w:name="_Toc3981"/>
      <w:bookmarkStart w:id="104" w:name="_Toc11058_WPSOffice_Level1"/>
      <w:bookmarkStart w:id="105" w:name="_Toc19447"/>
      <w:bookmarkStart w:id="106" w:name="_Toc18483_WPSOffice_Level1"/>
      <w:bookmarkStart w:id="107" w:name="_Toc7555"/>
      <w:bookmarkStart w:id="108" w:name="_Toc1564"/>
      <w:r>
        <w:rPr>
          <w:rFonts w:hint="eastAsia" w:ascii="黑体" w:hAnsi="黑体" w:eastAsia="黑体" w:cs="黑体"/>
          <w:color w:val="auto"/>
          <w:sz w:val="30"/>
          <w:szCs w:val="30"/>
          <w:highlight w:val="none"/>
        </w:rPr>
        <w:t>第11章　其他</w:t>
      </w:r>
      <w:bookmarkEnd w:id="101"/>
      <w:bookmarkEnd w:id="102"/>
      <w:bookmarkEnd w:id="103"/>
      <w:bookmarkEnd w:id="104"/>
      <w:bookmarkEnd w:id="105"/>
      <w:bookmarkEnd w:id="106"/>
      <w:bookmarkEnd w:id="107"/>
      <w:bookmarkEnd w:id="108"/>
    </w:p>
    <w:p>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11.1保密</w:t>
      </w:r>
    </w:p>
    <w:p>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双方不得以任何理由或目的将获悉的商业秘密和对方提供的资料文件提供给任何第三方。因任一方对相关资料管理原因造成对方保密信息泄露的，由其相关责任人承担相应责任，但按照法律、法规规定可</w:t>
      </w:r>
      <w:r>
        <w:rPr>
          <w:rFonts w:hint="eastAsia" w:ascii="宋体" w:hAnsi="宋体"/>
          <w:color w:val="auto"/>
          <w:sz w:val="28"/>
          <w:szCs w:val="28"/>
          <w:highlight w:val="none"/>
          <w:lang w:val="en-US" w:eastAsia="zh-CN"/>
        </w:rPr>
        <w:t>作</w:t>
      </w:r>
      <w:r>
        <w:rPr>
          <w:rFonts w:hint="eastAsia" w:ascii="宋体" w:hAnsi="宋体"/>
          <w:color w:val="auto"/>
          <w:sz w:val="28"/>
          <w:szCs w:val="28"/>
          <w:highlight w:val="none"/>
        </w:rPr>
        <w:t>出披露的情况除外。</w:t>
      </w:r>
    </w:p>
    <w:p>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11.2通知与送达</w:t>
      </w:r>
    </w:p>
    <w:p>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任何与本合同有关的通知、文件和合规的账单等均应按照约定的联络信息以书面方式发送给对方。通过挂号信、快递或当面送交的，经收件方（即企业法人、企业负责人或授权代表）签字确认即被认为送达；若以传真、电子邮件、即时通</w:t>
      </w:r>
      <w:r>
        <w:rPr>
          <w:rFonts w:hint="eastAsia" w:ascii="宋体" w:hAnsi="宋体"/>
          <w:color w:val="auto"/>
          <w:sz w:val="28"/>
          <w:szCs w:val="28"/>
          <w:highlight w:val="none"/>
          <w:lang w:val="en-US" w:eastAsia="zh-CN"/>
        </w:rPr>
        <w:t>信</w:t>
      </w:r>
      <w:r>
        <w:rPr>
          <w:rFonts w:hint="eastAsia" w:ascii="宋体" w:hAnsi="宋体"/>
          <w:color w:val="auto"/>
          <w:sz w:val="28"/>
          <w:szCs w:val="28"/>
          <w:highlight w:val="none"/>
        </w:rPr>
        <w:t>软件等方式发出并被接收，即视为送达。所有通知、文件和合规的账单等均在送达或接收后方能生效。一切通知、账单、资料或文件等应按照约定的联络信息发给对方，直至一方书面通知另一方变更联络信息为止。</w:t>
      </w:r>
    </w:p>
    <w:p>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11.3不放弃权利</w:t>
      </w:r>
    </w:p>
    <w:p>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任一方放弃权利应当以书面声明的方式通知对方。任一方未及时行使其在本合同项下的权利，均不应被视为对上述任何权利的放弃。</w:t>
      </w:r>
    </w:p>
    <w:p>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11.4本合同有关解除、诉求和保密的条款在本合同解除后仍然有效。本合同的订立、效力、解释、履行和争议的解决均适用中华人民共和国法律。</w:t>
      </w:r>
    </w:p>
    <w:p>
      <w:pPr>
        <w:pStyle w:val="13"/>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11.5双方签订纸质合同，合同一式</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份，均具有同等法律效力，甲方执</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份，乙方执</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份。</w:t>
      </w:r>
    </w:p>
    <w:p>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rPr>
        <w:t>11.6未尽事宜，由双方按照交易规则另行协商并签订补充协议，补充协议与本合同具有同等法律效力。</w:t>
      </w:r>
    </w:p>
    <w:p>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hint="eastAsia" w:ascii="宋体" w:hAnsi="宋体"/>
          <w:color w:val="auto"/>
          <w:sz w:val="28"/>
          <w:szCs w:val="28"/>
          <w:highlight w:val="none"/>
          <w:u w:val="single"/>
          <w:lang w:val="en-US" w:eastAsia="zh-CN"/>
        </w:rPr>
      </w:pPr>
      <w:r>
        <w:rPr>
          <w:rFonts w:hint="eastAsia" w:ascii="宋体" w:hAnsi="宋体"/>
          <w:color w:val="auto"/>
          <w:sz w:val="28"/>
          <w:szCs w:val="28"/>
          <w:highlight w:val="none"/>
          <w:lang w:val="en-US" w:eastAsia="zh-CN"/>
        </w:rPr>
        <w:t>11.7其他事项：</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600" w:lineRule="exact"/>
        <w:ind w:left="0"/>
        <w:textAlignment w:val="auto"/>
        <w:rPr>
          <w:rFonts w:hint="eastAsia" w:ascii="宋体" w:hAnsi="宋体"/>
          <w:color w:val="auto"/>
          <w:sz w:val="28"/>
          <w:szCs w:val="28"/>
          <w:highlight w:val="none"/>
          <w:u w:val="single"/>
        </w:rPr>
      </w:pP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pacing w:line="600" w:lineRule="exact"/>
        <w:ind w:left="0" w:firstLine="560" w:firstLineChars="200"/>
        <w:jc w:val="center"/>
        <w:textAlignment w:val="auto"/>
        <w:rPr>
          <w:rFonts w:hint="eastAsia" w:ascii="宋体" w:hAnsi="宋体"/>
          <w:color w:val="auto"/>
          <w:sz w:val="28"/>
          <w:szCs w:val="28"/>
          <w:highlight w:val="none"/>
          <w:lang w:val="en-US" w:eastAsia="zh-CN"/>
        </w:rPr>
      </w:pP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以下无正文</w:t>
      </w:r>
      <w:r>
        <w:rPr>
          <w:rFonts w:hint="eastAsia" w:ascii="宋体" w:hAnsi="宋体"/>
          <w:color w:val="auto"/>
          <w:sz w:val="28"/>
          <w:szCs w:val="28"/>
          <w:highlight w:val="none"/>
          <w:lang w:eastAsia="zh-CN"/>
        </w:rPr>
        <w:t>）</w:t>
      </w:r>
    </w:p>
    <w:p>
      <w:pPr>
        <w:pStyle w:val="4"/>
        <w:keepNext w:val="0"/>
        <w:keepLines w:val="0"/>
        <w:pageBreakBefore w:val="0"/>
        <w:widowControl w:val="0"/>
        <w:kinsoku/>
        <w:wordWrap/>
        <w:overflowPunct/>
        <w:topLinePunct w:val="0"/>
        <w:autoSpaceDE/>
        <w:autoSpaceDN/>
        <w:bidi w:val="0"/>
        <w:adjustRightInd/>
        <w:spacing w:before="0" w:after="0" w:line="600" w:lineRule="exact"/>
        <w:ind w:left="0"/>
        <w:textAlignment w:val="auto"/>
        <w:rPr>
          <w:color w:val="auto"/>
          <w:highlight w:val="none"/>
        </w:rPr>
      </w:pPr>
    </w:p>
    <w:p>
      <w:pPr>
        <w:pStyle w:val="5"/>
        <w:keepNext w:val="0"/>
        <w:keepLines w:val="0"/>
        <w:pageBreakBefore w:val="0"/>
        <w:widowControl w:val="0"/>
        <w:kinsoku/>
        <w:wordWrap/>
        <w:overflowPunct/>
        <w:topLinePunct w:val="0"/>
        <w:autoSpaceDE/>
        <w:autoSpaceDN/>
        <w:bidi w:val="0"/>
        <w:adjustRightInd/>
        <w:spacing w:before="0" w:after="0" w:line="600" w:lineRule="exact"/>
        <w:ind w:left="0"/>
        <w:textAlignment w:val="auto"/>
        <w:rPr>
          <w:color w:val="auto"/>
          <w:highlight w:val="none"/>
        </w:rPr>
      </w:pPr>
    </w:p>
    <w:p>
      <w:pPr>
        <w:rPr>
          <w:color w:val="auto"/>
          <w:highlight w:val="none"/>
        </w:rPr>
      </w:pPr>
    </w:p>
    <w:p>
      <w:pPr>
        <w:pStyle w:val="4"/>
        <w:rPr>
          <w:color w:val="auto"/>
          <w:highlight w:val="none"/>
        </w:rPr>
      </w:pPr>
    </w:p>
    <w:p>
      <w:pPr>
        <w:pStyle w:val="5"/>
        <w:rPr>
          <w:color w:val="auto"/>
          <w:highlight w:val="none"/>
        </w:rPr>
      </w:pPr>
    </w:p>
    <w:p>
      <w:pPr>
        <w:rPr>
          <w:color w:val="auto"/>
          <w:highlight w:val="none"/>
        </w:rPr>
      </w:pPr>
    </w:p>
    <w:p>
      <w:pPr>
        <w:pStyle w:val="4"/>
        <w:rPr>
          <w:color w:val="auto"/>
        </w:rPr>
      </w:pPr>
    </w:p>
    <w:p>
      <w:pPr>
        <w:pStyle w:val="5"/>
        <w:rPr>
          <w:color w:val="auto"/>
        </w:rPr>
      </w:pPr>
    </w:p>
    <w:p>
      <w:pPr>
        <w:rPr>
          <w:color w:val="auto"/>
        </w:rPr>
      </w:pPr>
    </w:p>
    <w:p>
      <w:pPr>
        <w:pStyle w:val="2"/>
        <w:rPr>
          <w:color w:val="auto"/>
        </w:rPr>
      </w:pPr>
    </w:p>
    <w:p>
      <w:pPr>
        <w:rPr>
          <w:color w:val="auto"/>
        </w:rPr>
      </w:pPr>
    </w:p>
    <w:p>
      <w:pPr>
        <w:pStyle w:val="2"/>
      </w:pPr>
    </w:p>
    <w:p>
      <w:pPr>
        <w:keepNext w:val="0"/>
        <w:keepLines w:val="0"/>
        <w:pageBreakBefore w:val="0"/>
        <w:widowControl w:val="0"/>
        <w:kinsoku/>
        <w:wordWrap/>
        <w:overflowPunct/>
        <w:topLinePunct w:val="0"/>
        <w:autoSpaceDE/>
        <w:autoSpaceDN/>
        <w:bidi w:val="0"/>
        <w:adjustRightInd/>
        <w:spacing w:line="600" w:lineRule="exact"/>
        <w:ind w:left="0"/>
        <w:textAlignment w:val="auto"/>
        <w:rPr>
          <w:rFonts w:hint="eastAsia" w:ascii="宋体" w:hAnsi="宋体"/>
          <w:color w:val="auto"/>
          <w:sz w:val="28"/>
          <w:szCs w:val="28"/>
          <w:highlight w:val="none"/>
        </w:rPr>
      </w:pPr>
    </w:p>
    <w:p>
      <w:pPr>
        <w:keepNext w:val="0"/>
        <w:keepLines w:val="0"/>
        <w:pageBreakBefore w:val="0"/>
        <w:widowControl w:val="0"/>
        <w:kinsoku/>
        <w:wordWrap/>
        <w:overflowPunct/>
        <w:topLinePunct w:val="0"/>
        <w:autoSpaceDE/>
        <w:autoSpaceDN/>
        <w:bidi w:val="0"/>
        <w:adjustRightInd/>
        <w:spacing w:line="600" w:lineRule="exact"/>
        <w:ind w:left="0"/>
        <w:textAlignment w:val="auto"/>
        <w:rPr>
          <w:rFonts w:hint="eastAsia" w:ascii="宋体" w:hAnsi="宋体"/>
          <w:color w:val="auto"/>
          <w:sz w:val="28"/>
          <w:szCs w:val="28"/>
          <w:highlight w:val="none"/>
        </w:rPr>
      </w:pPr>
    </w:p>
    <w:p>
      <w:pPr>
        <w:keepNext w:val="0"/>
        <w:keepLines w:val="0"/>
        <w:pageBreakBefore w:val="0"/>
        <w:widowControl w:val="0"/>
        <w:kinsoku/>
        <w:wordWrap/>
        <w:overflowPunct/>
        <w:topLinePunct w:val="0"/>
        <w:autoSpaceDE/>
        <w:autoSpaceDN/>
        <w:bidi w:val="0"/>
        <w:adjustRightInd/>
        <w:spacing w:line="600" w:lineRule="exact"/>
        <w:ind w:left="0"/>
        <w:textAlignment w:val="auto"/>
        <w:rPr>
          <w:rFonts w:hint="eastAsia" w:ascii="宋体" w:hAnsi="宋体"/>
          <w:color w:val="auto"/>
          <w:sz w:val="28"/>
          <w:szCs w:val="28"/>
          <w:highlight w:val="none"/>
        </w:rPr>
      </w:pPr>
    </w:p>
    <w:p>
      <w:pPr>
        <w:keepNext w:val="0"/>
        <w:keepLines w:val="0"/>
        <w:pageBreakBefore w:val="0"/>
        <w:widowControl w:val="0"/>
        <w:kinsoku/>
        <w:wordWrap/>
        <w:overflowPunct/>
        <w:topLinePunct w:val="0"/>
        <w:autoSpaceDE/>
        <w:autoSpaceDN/>
        <w:bidi w:val="0"/>
        <w:adjustRightInd/>
        <w:spacing w:line="600" w:lineRule="exact"/>
        <w:ind w:left="0"/>
        <w:textAlignment w:val="auto"/>
        <w:rPr>
          <w:rFonts w:hint="eastAsia" w:ascii="宋体" w:hAnsi="宋体"/>
          <w:color w:val="auto"/>
          <w:sz w:val="28"/>
          <w:szCs w:val="28"/>
          <w:highlight w:val="none"/>
        </w:rPr>
      </w:pPr>
    </w:p>
    <w:p>
      <w:pPr>
        <w:keepNext w:val="0"/>
        <w:keepLines w:val="0"/>
        <w:pageBreakBefore w:val="0"/>
        <w:widowControl w:val="0"/>
        <w:kinsoku/>
        <w:wordWrap/>
        <w:overflowPunct/>
        <w:topLinePunct w:val="0"/>
        <w:autoSpaceDE/>
        <w:autoSpaceDN/>
        <w:bidi w:val="0"/>
        <w:adjustRightInd/>
        <w:spacing w:line="600" w:lineRule="exact"/>
        <w:ind w:left="0"/>
        <w:textAlignment w:val="auto"/>
        <w:rPr>
          <w:rFonts w:ascii="宋体" w:hAnsi="宋体"/>
          <w:color w:val="auto"/>
          <w:sz w:val="28"/>
          <w:szCs w:val="28"/>
          <w:highlight w:val="none"/>
        </w:rPr>
      </w:pPr>
      <w:r>
        <w:rPr>
          <w:rFonts w:hint="eastAsia" w:ascii="宋体" w:hAnsi="宋体"/>
          <w:color w:val="auto"/>
          <w:sz w:val="28"/>
          <w:szCs w:val="28"/>
          <w:highlight w:val="none"/>
        </w:rPr>
        <w:t>甲方</w:t>
      </w:r>
      <w:r>
        <w:rPr>
          <w:rFonts w:ascii="宋体" w:hAnsi="宋体"/>
          <w:color w:val="auto"/>
          <w:sz w:val="28"/>
          <w:szCs w:val="28"/>
          <w:highlight w:val="none"/>
        </w:rPr>
        <w:t>：</w:t>
      </w:r>
      <w:r>
        <w:rPr>
          <w:rFonts w:hint="eastAsia" w:ascii="宋体" w:hAnsi="宋体"/>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pacing w:line="600" w:lineRule="exact"/>
        <w:ind w:left="0"/>
        <w:textAlignment w:val="auto"/>
        <w:rPr>
          <w:rFonts w:ascii="宋体" w:hAnsi="宋体"/>
          <w:color w:val="auto"/>
          <w:sz w:val="28"/>
          <w:szCs w:val="28"/>
          <w:highlight w:val="none"/>
        </w:rPr>
      </w:pPr>
      <w:r>
        <w:rPr>
          <w:rFonts w:hint="eastAsia" w:ascii="宋体" w:hAnsi="宋体"/>
          <w:color w:val="auto"/>
          <w:sz w:val="28"/>
          <w:szCs w:val="28"/>
          <w:highlight w:val="none"/>
        </w:rPr>
        <w:t>法定代表人/授权代理人：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rPr>
        <w:tab/>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pacing w:line="600" w:lineRule="exact"/>
        <w:ind w:left="0"/>
        <w:textAlignment w:val="auto"/>
        <w:rPr>
          <w:rFonts w:ascii="宋体" w:hAnsi="宋体"/>
          <w:color w:val="auto"/>
          <w:sz w:val="28"/>
          <w:szCs w:val="28"/>
          <w:highlight w:val="none"/>
        </w:rPr>
      </w:pPr>
      <w:r>
        <w:rPr>
          <w:rFonts w:hint="eastAsia" w:ascii="宋体" w:hAnsi="宋体"/>
          <w:color w:val="auto"/>
          <w:sz w:val="28"/>
          <w:szCs w:val="28"/>
          <w:highlight w:val="none"/>
        </w:rPr>
        <w:t>盖章日期：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pPr>
        <w:keepNext w:val="0"/>
        <w:keepLines w:val="0"/>
        <w:pageBreakBefore w:val="0"/>
        <w:widowControl w:val="0"/>
        <w:kinsoku/>
        <w:wordWrap/>
        <w:overflowPunct/>
        <w:topLinePunct w:val="0"/>
        <w:autoSpaceDE/>
        <w:autoSpaceDN/>
        <w:bidi w:val="0"/>
        <w:adjustRightInd/>
        <w:spacing w:line="600" w:lineRule="exact"/>
        <w:ind w:left="0"/>
        <w:textAlignment w:val="auto"/>
        <w:rPr>
          <w:rFonts w:ascii="宋体" w:hAnsi="宋体"/>
          <w:color w:val="auto"/>
          <w:sz w:val="28"/>
          <w:szCs w:val="28"/>
          <w:highlight w:val="none"/>
        </w:rPr>
      </w:pPr>
    </w:p>
    <w:p>
      <w:pPr>
        <w:pStyle w:val="5"/>
        <w:keepNext w:val="0"/>
        <w:keepLines w:val="0"/>
        <w:pageBreakBefore w:val="0"/>
        <w:widowControl w:val="0"/>
        <w:kinsoku/>
        <w:wordWrap/>
        <w:overflowPunct/>
        <w:topLinePunct w:val="0"/>
        <w:autoSpaceDE/>
        <w:autoSpaceDN/>
        <w:bidi w:val="0"/>
        <w:adjustRightInd/>
        <w:spacing w:before="0" w:after="0" w:line="600" w:lineRule="exact"/>
        <w:ind w:left="0"/>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pacing w:line="600" w:lineRule="exact"/>
        <w:ind w:left="0"/>
        <w:textAlignment w:val="auto"/>
        <w:rPr>
          <w:rFonts w:ascii="宋体" w:hAnsi="宋体"/>
          <w:color w:val="auto"/>
          <w:sz w:val="28"/>
          <w:szCs w:val="28"/>
          <w:highlight w:val="none"/>
        </w:rPr>
      </w:pPr>
      <w:r>
        <w:rPr>
          <w:rFonts w:hint="eastAsia" w:ascii="宋体" w:hAnsi="宋体"/>
          <w:color w:val="auto"/>
          <w:sz w:val="28"/>
          <w:szCs w:val="28"/>
          <w:highlight w:val="none"/>
        </w:rPr>
        <w:t>乙方</w:t>
      </w:r>
      <w:r>
        <w:rPr>
          <w:rFonts w:ascii="宋体" w:hAnsi="宋体"/>
          <w:color w:val="auto"/>
          <w:sz w:val="28"/>
          <w:szCs w:val="28"/>
          <w:highlight w:val="none"/>
        </w:rPr>
        <w:t>：</w:t>
      </w:r>
      <w:r>
        <w:rPr>
          <w:rFonts w:hint="eastAsia" w:ascii="宋体" w:hAnsi="宋体"/>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pacing w:line="600" w:lineRule="exact"/>
        <w:ind w:left="0"/>
        <w:textAlignment w:val="auto"/>
        <w:rPr>
          <w:rFonts w:ascii="宋体" w:hAnsi="宋体"/>
          <w:color w:val="auto"/>
          <w:sz w:val="28"/>
          <w:szCs w:val="28"/>
          <w:highlight w:val="none"/>
          <w:u w:val="single"/>
        </w:rPr>
      </w:pPr>
      <w:r>
        <w:rPr>
          <w:rFonts w:hint="eastAsia" w:ascii="宋体" w:hAnsi="宋体"/>
          <w:color w:val="auto"/>
          <w:sz w:val="28"/>
          <w:szCs w:val="28"/>
          <w:highlight w:val="none"/>
        </w:rPr>
        <w:t>法定代表人/授权代理人：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rPr>
        <w:tab/>
      </w:r>
      <w:r>
        <w:rPr>
          <w:rFonts w:hint="eastAsia" w:ascii="宋体" w:hAnsi="宋体"/>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pacing w:line="600" w:lineRule="exact"/>
        <w:ind w:left="0"/>
        <w:textAlignment w:val="auto"/>
        <w:rPr>
          <w:rFonts w:ascii="宋体" w:hAnsi="宋体"/>
          <w:color w:val="auto"/>
          <w:sz w:val="28"/>
          <w:szCs w:val="28"/>
          <w:highlight w:val="none"/>
        </w:rPr>
      </w:pPr>
      <w:r>
        <w:rPr>
          <w:rFonts w:hint="eastAsia" w:ascii="宋体" w:hAnsi="宋体"/>
          <w:color w:val="auto"/>
          <w:sz w:val="28"/>
          <w:szCs w:val="28"/>
          <w:highlight w:val="none"/>
        </w:rPr>
        <w:t>盖章日期：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pPr>
        <w:keepNext w:val="0"/>
        <w:keepLines w:val="0"/>
        <w:pageBreakBefore w:val="0"/>
        <w:widowControl w:val="0"/>
        <w:kinsoku/>
        <w:wordWrap/>
        <w:overflowPunct/>
        <w:topLinePunct w:val="0"/>
        <w:autoSpaceDE/>
        <w:autoSpaceDN/>
        <w:bidi w:val="0"/>
        <w:adjustRightInd/>
        <w:spacing w:line="600" w:lineRule="exact"/>
        <w:ind w:left="0"/>
        <w:textAlignment w:val="auto"/>
        <w:rPr>
          <w:color w:val="auto"/>
          <w:highlight w:val="none"/>
        </w:rPr>
      </w:pPr>
    </w:p>
    <w:p>
      <w:pPr>
        <w:keepNext w:val="0"/>
        <w:keepLines w:val="0"/>
        <w:pageBreakBefore w:val="0"/>
        <w:widowControl w:val="0"/>
        <w:kinsoku/>
        <w:wordWrap/>
        <w:overflowPunct/>
        <w:topLinePunct w:val="0"/>
        <w:autoSpaceDE/>
        <w:autoSpaceDN/>
        <w:bidi w:val="0"/>
        <w:adjustRightInd/>
        <w:spacing w:line="600" w:lineRule="exact"/>
        <w:ind w:left="0"/>
        <w:textAlignment w:val="auto"/>
        <w:rPr>
          <w:rFonts w:ascii="宋体" w:hAnsi="宋体"/>
          <w:color w:val="auto"/>
          <w:sz w:val="28"/>
          <w:szCs w:val="28"/>
          <w:highlight w:val="none"/>
        </w:rPr>
      </w:pPr>
      <w:r>
        <w:rPr>
          <w:rFonts w:hint="eastAsia" w:ascii="宋体" w:hAnsi="宋体"/>
          <w:color w:val="auto"/>
          <w:sz w:val="28"/>
          <w:szCs w:val="28"/>
          <w:highlight w:val="none"/>
        </w:rPr>
        <w:t>签订地点：</w:t>
      </w:r>
      <w:r>
        <w:rPr>
          <w:rFonts w:hint="eastAsia" w:ascii="宋体" w:hAnsi="宋体"/>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2"/>
          <w:rFonts w:hint="default" w:ascii="仿宋_GB2312" w:hAnsi="仿宋_GB2312" w:eastAsia="仿宋_GB2312" w:cs="仿宋_GB2312"/>
          <w:b w:val="0"/>
          <w:bCs w:val="0"/>
          <w:i w:val="0"/>
          <w:iCs w:val="0"/>
          <w:caps w:val="0"/>
          <w:color w:val="auto"/>
          <w:spacing w:val="0"/>
          <w:sz w:val="32"/>
          <w:szCs w:val="32"/>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H8qZhcYBAACPAwAADgAAAAAAAAABACAAAAAfAQAAZHJzL2Uyb0RvYy54&#10;bWxQSwUGAAAAAAYABgBZAQAAVwU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center"/>
    </w:pPr>
    <w:r>
      <w:rPr>
        <w:rFonts w:hint="eastAsia"/>
      </w:rPr>
      <w:t>海南电力市场零售交易实施细则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EE0754"/>
    <w:rsid w:val="04F7580F"/>
    <w:rsid w:val="0CB25A3E"/>
    <w:rsid w:val="126B62B7"/>
    <w:rsid w:val="19A81EC2"/>
    <w:rsid w:val="222F4B27"/>
    <w:rsid w:val="26595D88"/>
    <w:rsid w:val="2F4D3730"/>
    <w:rsid w:val="328F55AE"/>
    <w:rsid w:val="406A48BE"/>
    <w:rsid w:val="40A02DDD"/>
    <w:rsid w:val="443D58AA"/>
    <w:rsid w:val="4B81356C"/>
    <w:rsid w:val="5C401AE1"/>
    <w:rsid w:val="734C3D25"/>
    <w:rsid w:val="799C2153"/>
    <w:rsid w:val="7BB63F67"/>
    <w:rsid w:val="7EC24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keepNext/>
      <w:keepLines/>
      <w:spacing w:beforeAutospacing="0" w:afterAutospacing="0" w:line="600" w:lineRule="exact"/>
      <w:jc w:val="center"/>
      <w:outlineLvl w:val="0"/>
    </w:pPr>
    <w:rPr>
      <w:rFonts w:ascii="Calibri" w:hAnsi="Calibri" w:eastAsia="黑体"/>
      <w:kern w:val="44"/>
      <w:sz w:val="32"/>
    </w:rPr>
  </w:style>
  <w:style w:type="paragraph" w:styleId="2">
    <w:name w:val="heading 2"/>
    <w:basedOn w:val="1"/>
    <w:next w:val="1"/>
    <w:qFormat/>
    <w:uiPriority w:val="0"/>
    <w:pPr>
      <w:keepNext/>
      <w:keepLines/>
      <w:spacing w:line="560" w:lineRule="exact"/>
      <w:outlineLvl w:val="1"/>
    </w:pPr>
    <w:rPr>
      <w:rFonts w:ascii="Cambria" w:hAnsi="Cambria" w:eastAsia="楷体" w:cs="Times New Roman"/>
      <w:b/>
      <w:bCs/>
      <w:sz w:val="32"/>
      <w:szCs w:val="32"/>
    </w:rPr>
  </w:style>
  <w:style w:type="character" w:default="1" w:styleId="11">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4">
    <w:name w:val="Body Text"/>
    <w:basedOn w:val="5"/>
    <w:next w:val="5"/>
    <w:qFormat/>
    <w:uiPriority w:val="1"/>
    <w:pPr>
      <w:ind w:left="530"/>
    </w:pPr>
    <w:rPr>
      <w:rFonts w:ascii="宋体" w:hAnsi="宋体" w:eastAsia="宋体" w:cs="宋体"/>
      <w:sz w:val="31"/>
      <w:szCs w:val="31"/>
      <w:lang w:val="zh-CN" w:bidi="zh-CN"/>
    </w:rPr>
  </w:style>
  <w:style w:type="paragraph" w:styleId="5">
    <w:name w:val="Title"/>
    <w:basedOn w:val="1"/>
    <w:next w:val="1"/>
    <w:qFormat/>
    <w:uiPriority w:val="0"/>
    <w:pPr>
      <w:spacing w:before="240" w:after="60"/>
      <w:jc w:val="center"/>
      <w:outlineLvl w:val="0"/>
    </w:pPr>
    <w:rPr>
      <w:rFonts w:ascii="Calibri Light" w:hAnsi="Calibri Light" w:cs="宋体"/>
      <w:b/>
      <w:bCs/>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39"/>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目录 21"/>
    <w:basedOn w:val="1"/>
    <w:next w:val="1"/>
    <w:qFormat/>
    <w:uiPriority w:val="0"/>
    <w:pPr>
      <w:spacing w:before="100" w:beforeAutospacing="1" w:after="100" w:afterAutospacing="1"/>
      <w:ind w:left="420" w:leftChars="200"/>
    </w:pPr>
  </w:style>
  <w:style w:type="paragraph" w:customStyle="1" w:styleId="14">
    <w:name w:val="TOC Heading_2f9b752c-4dd0-4044-9c06-b9c4f705e8c1"/>
    <w:basedOn w:val="3"/>
    <w:next w:val="1"/>
    <w:qFormat/>
    <w:uiPriority w:val="39"/>
    <w:pPr>
      <w:widowControl/>
      <w:spacing w:before="240" w:after="0" w:line="259" w:lineRule="auto"/>
      <w:jc w:val="left"/>
      <w:outlineLvl w:val="9"/>
    </w:pPr>
    <w:rPr>
      <w:rFonts w:ascii="Calibri Light" w:hAnsi="Calibri Light" w:eastAsia="宋体" w:cs="宋体"/>
      <w:color w:val="2E54A1"/>
      <w:kern w:val="0"/>
      <w:sz w:val="32"/>
      <w:szCs w:val="32"/>
    </w:rPr>
  </w:style>
  <w:style w:type="paragraph" w:customStyle="1" w:styleId="15">
    <w:name w:val="WPSOffice手动目录 1"/>
    <w:qFormat/>
    <w:uiPriority w:val="0"/>
    <w:rPr>
      <w:rFonts w:ascii="Calibri" w:hAnsi="Calibri" w:eastAsia="Calibri"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13505</Words>
  <Characters>14138</Characters>
  <Lines>0</Lines>
  <Paragraphs>426</Paragraphs>
  <TotalTime>12</TotalTime>
  <ScaleCrop>false</ScaleCrop>
  <LinksUpToDate>false</LinksUpToDate>
  <CharactersWithSpaces>15004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2024-08-17T14:41:00Z</dcterms:created>
  <dc:creator>admin</dc:creator>
  <cp:lastModifiedBy>交易中心文书</cp:lastModifiedBy>
  <dcterms:modified xsi:type="dcterms:W3CDTF">2025-05-09T08:35:14Z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BEFD1C184E004474B598A7BABBEA01F8</vt:lpwstr>
  </property>
  <property fmtid="{D5CDD505-2E9C-101B-9397-08002B2CF9AE}" pid="3" name="KSOProductBuildVer">
    <vt:lpwstr>2052-11.8.2.12085</vt:lpwstr>
  </property>
</Properties>
</file>